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7C1" w:rsidRDefault="008967C1" w:rsidP="008967C1">
      <w:pPr>
        <w:spacing w:after="0" w:line="240" w:lineRule="auto"/>
        <w:jc w:val="center"/>
        <w:rPr>
          <w:b/>
          <w:sz w:val="28"/>
          <w:szCs w:val="28"/>
        </w:rPr>
      </w:pPr>
      <w:r>
        <w:rPr>
          <w:b/>
          <w:sz w:val="28"/>
          <w:szCs w:val="28"/>
        </w:rPr>
        <w:t>Programma 2</w:t>
      </w:r>
      <w:r w:rsidRPr="00E967B8">
        <w:rPr>
          <w:b/>
          <w:sz w:val="28"/>
          <w:szCs w:val="28"/>
        </w:rPr>
        <w:t xml:space="preserve"> “A scuola … di salute”</w:t>
      </w:r>
    </w:p>
    <w:p w:rsidR="008967C1" w:rsidRDefault="008967C1" w:rsidP="008967C1">
      <w:pPr>
        <w:spacing w:after="0" w:line="240" w:lineRule="auto"/>
        <w:jc w:val="center"/>
        <w:rPr>
          <w:b/>
          <w:sz w:val="36"/>
          <w:szCs w:val="28"/>
        </w:rPr>
      </w:pPr>
      <w:r w:rsidRPr="00EF73E9">
        <w:rPr>
          <w:b/>
          <w:sz w:val="36"/>
          <w:szCs w:val="28"/>
        </w:rPr>
        <w:t>Azione n.</w:t>
      </w:r>
      <w:r>
        <w:rPr>
          <w:b/>
          <w:sz w:val="36"/>
          <w:szCs w:val="28"/>
        </w:rPr>
        <w:t>6</w:t>
      </w:r>
    </w:p>
    <w:p w:rsidR="008967C1" w:rsidRDefault="008967C1" w:rsidP="008967C1">
      <w:pPr>
        <w:pStyle w:val="Default"/>
        <w:jc w:val="center"/>
        <w:rPr>
          <w:b/>
          <w:sz w:val="28"/>
          <w:szCs w:val="28"/>
        </w:rPr>
      </w:pPr>
      <w:r w:rsidRPr="00EB4238">
        <w:rPr>
          <w:b/>
          <w:sz w:val="28"/>
          <w:szCs w:val="28"/>
        </w:rPr>
        <w:t>PREVEN</w:t>
      </w:r>
      <w:r>
        <w:rPr>
          <w:b/>
          <w:sz w:val="28"/>
          <w:szCs w:val="28"/>
        </w:rPr>
        <w:t>ZIONE DEL DISAGIO PSICOSOCIALE:</w:t>
      </w:r>
    </w:p>
    <w:p w:rsidR="008967C1" w:rsidRPr="008B69CA" w:rsidRDefault="008967C1" w:rsidP="008967C1">
      <w:pPr>
        <w:pStyle w:val="Default"/>
        <w:spacing w:after="240"/>
        <w:jc w:val="center"/>
        <w:rPr>
          <w:b/>
          <w:sz w:val="28"/>
          <w:szCs w:val="28"/>
          <w:lang w:val="en-US"/>
        </w:rPr>
      </w:pPr>
      <w:r w:rsidRPr="008967C1">
        <w:rPr>
          <w:b/>
          <w:sz w:val="28"/>
          <w:szCs w:val="28"/>
        </w:rPr>
        <w:t>WELL-BEING IS WEEL-DOING</w:t>
      </w:r>
    </w:p>
    <w:tbl>
      <w:tblPr>
        <w:tblStyle w:val="Grigliatabella"/>
        <w:tblW w:w="0" w:type="auto"/>
        <w:tblLook w:val="04A0"/>
      </w:tblPr>
      <w:tblGrid>
        <w:gridCol w:w="9778"/>
      </w:tblGrid>
      <w:tr w:rsidR="000449DC" w:rsidRPr="000449DC" w:rsidTr="000449DC">
        <w:tc>
          <w:tcPr>
            <w:tcW w:w="9778" w:type="dxa"/>
            <w:shd w:val="clear" w:color="auto" w:fill="D9D9D9" w:themeFill="background1" w:themeFillShade="D9"/>
          </w:tcPr>
          <w:p w:rsidR="000449DC" w:rsidRPr="0024457A" w:rsidRDefault="000449DC">
            <w:pPr>
              <w:rPr>
                <w:lang w:val="en-US"/>
              </w:rPr>
            </w:pPr>
            <w:r w:rsidRPr="0024457A">
              <w:rPr>
                <w:b/>
                <w:sz w:val="28"/>
                <w:szCs w:val="28"/>
              </w:rPr>
              <w:t>BREVE DESCRIZIONE</w:t>
            </w:r>
          </w:p>
        </w:tc>
      </w:tr>
      <w:tr w:rsidR="000449DC" w:rsidRPr="005C779C" w:rsidTr="00C41044">
        <w:trPr>
          <w:trHeight w:val="4026"/>
        </w:trPr>
        <w:tc>
          <w:tcPr>
            <w:tcW w:w="9778" w:type="dxa"/>
            <w:vAlign w:val="center"/>
          </w:tcPr>
          <w:p w:rsidR="00B67178" w:rsidRPr="00B67178" w:rsidRDefault="00B67178" w:rsidP="00C41044">
            <w:pPr>
              <w:autoSpaceDE w:val="0"/>
              <w:autoSpaceDN w:val="0"/>
              <w:adjustRightInd w:val="0"/>
              <w:ind w:right="206" w:firstLine="142"/>
              <w:jc w:val="both"/>
              <w:rPr>
                <w:sz w:val="24"/>
                <w:szCs w:val="24"/>
              </w:rPr>
            </w:pPr>
            <w:r w:rsidRPr="00B67178">
              <w:rPr>
                <w:sz w:val="24"/>
                <w:szCs w:val="24"/>
              </w:rPr>
              <w:t xml:space="preserve">Il Piano Nazione della Prevenzione pone l’attenzione sia sui </w:t>
            </w:r>
            <w:r w:rsidRPr="00B67178">
              <w:rPr>
                <w:b/>
                <w:sz w:val="24"/>
                <w:szCs w:val="24"/>
              </w:rPr>
              <w:t xml:space="preserve">fattori di rischio </w:t>
            </w:r>
            <w:r w:rsidRPr="00B67178">
              <w:rPr>
                <w:sz w:val="24"/>
                <w:szCs w:val="24"/>
              </w:rPr>
              <w:t xml:space="preserve">(status economico e lavorativo, livello di scolarità, standard di vita, salute fisica, coesione familiare, discriminazione, violazione dei diritti umani ed esposizione a eventi avversi come violenza sessuale, abuso e trascuratezza) che possono favorire l’insorgenza di una patologia psichiatrica, ma soprattutto sui </w:t>
            </w:r>
            <w:r w:rsidRPr="00B67178">
              <w:rPr>
                <w:b/>
                <w:sz w:val="24"/>
                <w:szCs w:val="24"/>
              </w:rPr>
              <w:t>fattori protettivi</w:t>
            </w:r>
            <w:r w:rsidRPr="00B67178">
              <w:rPr>
                <w:rFonts w:eastAsia="Times New Roman"/>
                <w:sz w:val="24"/>
                <w:szCs w:val="24"/>
                <w:u w:color="000000"/>
              </w:rPr>
              <w:t xml:space="preserve"> </w:t>
            </w:r>
            <w:r w:rsidRPr="00B67178">
              <w:rPr>
                <w:sz w:val="24"/>
                <w:szCs w:val="24"/>
              </w:rPr>
              <w:t xml:space="preserve">che aiutano a sviluppare resilienza di fronte ad eventi stressanti e/o traumatici. </w:t>
            </w:r>
          </w:p>
          <w:p w:rsidR="000449DC" w:rsidRPr="0024457A" w:rsidRDefault="00B67178" w:rsidP="00C41044">
            <w:pPr>
              <w:autoSpaceDE w:val="0"/>
              <w:autoSpaceDN w:val="0"/>
              <w:adjustRightInd w:val="0"/>
              <w:ind w:right="206" w:firstLine="142"/>
              <w:jc w:val="both"/>
            </w:pPr>
            <w:r w:rsidRPr="00B67178">
              <w:rPr>
                <w:sz w:val="24"/>
                <w:szCs w:val="24"/>
              </w:rPr>
              <w:t xml:space="preserve">La scuola secondaria di primo e secondo grado è “abitata” da soggetti che hanno ormai imparato a definirsi come soggetti attivi e autodeterminati all’interno della propria comunità di riferimento. Vengono sviluppati i primi modelli interni di riferimento rispetto al modello di benessere e salute alla quale il soggetto desidera adattare il proprio stile di vita. In questa prospettiva l’educazione tra pari (o </w:t>
            </w:r>
            <w:r w:rsidRPr="00B67178">
              <w:rPr>
                <w:i/>
                <w:iCs/>
                <w:sz w:val="24"/>
                <w:szCs w:val="24"/>
              </w:rPr>
              <w:t>Peer education</w:t>
            </w:r>
            <w:r w:rsidRPr="00B67178">
              <w:rPr>
                <w:sz w:val="24"/>
                <w:szCs w:val="24"/>
              </w:rPr>
              <w:t>) si qualifica come la strategia più rispettosa delle istanze evolutive, delle caratteristiche psicopedagogiche e delle funzioni cognitive che connotano questa fase del ciclo di vita.</w:t>
            </w:r>
            <w:r>
              <w:rPr>
                <w:sz w:val="24"/>
                <w:szCs w:val="24"/>
              </w:rPr>
              <w:t xml:space="preserve"> </w:t>
            </w:r>
          </w:p>
        </w:tc>
      </w:tr>
      <w:tr w:rsidR="000449DC" w:rsidRPr="000449DC" w:rsidTr="000449DC">
        <w:tc>
          <w:tcPr>
            <w:tcW w:w="9778" w:type="dxa"/>
            <w:shd w:val="clear" w:color="auto" w:fill="D9D9D9" w:themeFill="background1" w:themeFillShade="D9"/>
          </w:tcPr>
          <w:p w:rsidR="000449DC" w:rsidRPr="000449DC" w:rsidRDefault="000449DC">
            <w:pPr>
              <w:rPr>
                <w:lang w:val="en-US"/>
              </w:rPr>
            </w:pPr>
            <w:r w:rsidRPr="00405B8D">
              <w:rPr>
                <w:b/>
                <w:sz w:val="28"/>
                <w:szCs w:val="28"/>
              </w:rPr>
              <w:t>EVIDENZE DI EFFICACIA</w:t>
            </w:r>
          </w:p>
        </w:tc>
      </w:tr>
      <w:tr w:rsidR="000449DC" w:rsidRPr="00160152" w:rsidTr="00C41044">
        <w:trPr>
          <w:trHeight w:val="3042"/>
        </w:trPr>
        <w:tc>
          <w:tcPr>
            <w:tcW w:w="9778" w:type="dxa"/>
            <w:vAlign w:val="center"/>
          </w:tcPr>
          <w:p w:rsidR="0039237B" w:rsidRPr="00B67178" w:rsidRDefault="00B67178" w:rsidP="00C41044">
            <w:pPr>
              <w:autoSpaceDE w:val="0"/>
              <w:autoSpaceDN w:val="0"/>
              <w:adjustRightInd w:val="0"/>
              <w:ind w:right="206" w:firstLine="142"/>
              <w:jc w:val="both"/>
              <w:rPr>
                <w:rFonts w:cstheme="minorHAnsi"/>
                <w:sz w:val="24"/>
                <w:szCs w:val="24"/>
              </w:rPr>
            </w:pPr>
            <w:r w:rsidRPr="00B67178">
              <w:rPr>
                <w:sz w:val="24"/>
                <w:szCs w:val="24"/>
              </w:rPr>
              <w:t xml:space="preserve">A livello fondativo l’educazione tra pari, riconosce la centralità del ruolo dei pari nell’ideazione, progettazione e realizzazione di iniziative e interventi per la promozione del proprio benessere psicofisico, relazionale e ambientale a scuola e nel territorio. A differenza di altri modelli di intervento animativi e pedagogico, l’educazione tra pari propone una “rivoluzione di paradigma”. Si passa, infatti, dagli adulti esperti ad adulti counsellor e facilitatori di processi; da adolescenti destinatari dell’intervento o addestrati a condurre l’intervento ad adolescenti ideatori e realizzatori autonomi delle proprie iniziative. A livello operativo questo modello propone una struttura contenitore dinamica e flessibile in cui: i pari scelgono i pari; i ragazzi scelgono autonomamente il tema di promozione della salute che vogliono sviluppare e si assumono direttamente la responsabilità delle azioni che intendono realizzare. </w:t>
            </w:r>
          </w:p>
        </w:tc>
      </w:tr>
      <w:tr w:rsidR="000449DC" w:rsidRPr="000449DC" w:rsidTr="000449DC">
        <w:tc>
          <w:tcPr>
            <w:tcW w:w="9778" w:type="dxa"/>
            <w:shd w:val="clear" w:color="auto" w:fill="D9D9D9" w:themeFill="background1" w:themeFillShade="D9"/>
          </w:tcPr>
          <w:p w:rsidR="000449DC" w:rsidRPr="000449DC" w:rsidRDefault="000449DC" w:rsidP="000449DC">
            <w:pPr>
              <w:rPr>
                <w:lang w:val="en-US"/>
              </w:rPr>
            </w:pPr>
            <w:r w:rsidRPr="000449DC">
              <w:rPr>
                <w:b/>
                <w:sz w:val="28"/>
                <w:szCs w:val="28"/>
              </w:rPr>
              <w:t>EVIDENZA DI SOSTENIBILIT</w:t>
            </w:r>
            <w:r w:rsidR="00C41044">
              <w:rPr>
                <w:b/>
                <w:sz w:val="28"/>
                <w:szCs w:val="28"/>
              </w:rPr>
              <w:t>À</w:t>
            </w:r>
          </w:p>
        </w:tc>
      </w:tr>
      <w:tr w:rsidR="000449DC" w:rsidRPr="005C779C" w:rsidTr="00C41044">
        <w:trPr>
          <w:trHeight w:val="2537"/>
        </w:trPr>
        <w:tc>
          <w:tcPr>
            <w:tcW w:w="9778" w:type="dxa"/>
            <w:vAlign w:val="center"/>
          </w:tcPr>
          <w:p w:rsidR="00B67178" w:rsidRPr="00B67178" w:rsidRDefault="00B67178" w:rsidP="00C41044">
            <w:pPr>
              <w:autoSpaceDE w:val="0"/>
              <w:autoSpaceDN w:val="0"/>
              <w:adjustRightInd w:val="0"/>
              <w:ind w:right="206" w:firstLine="142"/>
              <w:jc w:val="both"/>
              <w:rPr>
                <w:sz w:val="24"/>
                <w:szCs w:val="24"/>
              </w:rPr>
            </w:pPr>
            <w:r w:rsidRPr="00B67178">
              <w:rPr>
                <w:sz w:val="24"/>
                <w:szCs w:val="24"/>
              </w:rPr>
              <w:t>Gli interventi di educazione tra pari, pur nella differenza del modello di sviluppo utilizzato come riferimento prevedono tutti una sequenza di fasi così programmata: individuazione di una fascia target e selezione dei Peer educator(la selezione è il primo momento di avvio del progetto) e la costituzione e la formazione del gruppo dei Peer educator. Il gruppo con cui si lavora è costituito da soggetti che provengono da classi diverse e che in molti casi non si conoscono. Questa fase è finalizzata a: conoscersi, analizzare le proprie prefigurazioni, contrattare-chiarire e ridefinire la mission, definire progressivamente la propria assunzione di responsabilità e iniziare ad esplorare le rappresentazioni del gruppo e dei singoli Peer educator sull’universo adolescenziale. Nella fase di Progettazione delle azioni, il gruppo è formato e supportato nell’elaborazione di un progetto d’intervento e nella stesura di un piano operativo strutturato per fasi. Al gruppo vengono inoltre proposte possibilità di approfondimenti sui temi scelti come aree su cui progettare le azioni.</w:t>
            </w:r>
          </w:p>
          <w:p w:rsidR="00B67178" w:rsidRPr="00B67178" w:rsidRDefault="00B67178" w:rsidP="00C41044">
            <w:pPr>
              <w:autoSpaceDE w:val="0"/>
              <w:autoSpaceDN w:val="0"/>
              <w:adjustRightInd w:val="0"/>
              <w:ind w:right="206" w:firstLine="142"/>
              <w:jc w:val="both"/>
              <w:rPr>
                <w:sz w:val="24"/>
                <w:szCs w:val="24"/>
              </w:rPr>
            </w:pPr>
            <w:r w:rsidRPr="00B67178">
              <w:rPr>
                <w:sz w:val="24"/>
                <w:szCs w:val="24"/>
              </w:rPr>
              <w:t>La fase di Realizzazione delle azioni nella scuola, prevede che il ruolo degli adulti</w:t>
            </w:r>
            <w:r w:rsidRPr="00677963">
              <w:rPr>
                <w:sz w:val="28"/>
                <w:szCs w:val="28"/>
              </w:rPr>
              <w:t xml:space="preserve"> </w:t>
            </w:r>
            <w:r w:rsidRPr="00B67178">
              <w:rPr>
                <w:sz w:val="24"/>
                <w:szCs w:val="24"/>
              </w:rPr>
              <w:t xml:space="preserve">evolva da conduttore a cousellor: nel primo anno l’animatore adulto ha la funzione di condurre ogni </w:t>
            </w:r>
            <w:r w:rsidRPr="00B67178">
              <w:rPr>
                <w:sz w:val="24"/>
                <w:szCs w:val="24"/>
              </w:rPr>
              <w:lastRenderedPageBreak/>
              <w:t>singolo incontro e accompagnare i processi di definizione del gruppo degli educatori tra pari (acquisizione di competenze, sostegno al ruolo, ecc.) mentre nel secondo anno la funzione di counselling si limita a sostenere il passaggio dall’autonomia progettuale all’autonomia operativa. È il gruppo che definisce l</w:t>
            </w:r>
            <w:r w:rsidRPr="00677963">
              <w:rPr>
                <w:sz w:val="28"/>
                <w:szCs w:val="28"/>
              </w:rPr>
              <w:t xml:space="preserve">a </w:t>
            </w:r>
            <w:r w:rsidRPr="00B67178">
              <w:rPr>
                <w:sz w:val="24"/>
                <w:szCs w:val="24"/>
              </w:rPr>
              <w:t>domanda di aiuto all’adulto e lo interpella su questioni specifiche da affrontare.</w:t>
            </w:r>
          </w:p>
          <w:p w:rsidR="0039237B" w:rsidRPr="0024457A" w:rsidRDefault="00B67178" w:rsidP="00C41044">
            <w:pPr>
              <w:autoSpaceDE w:val="0"/>
              <w:autoSpaceDN w:val="0"/>
              <w:adjustRightInd w:val="0"/>
              <w:ind w:right="206" w:firstLine="142"/>
              <w:jc w:val="both"/>
              <w:rPr>
                <w:rFonts w:cstheme="minorHAnsi"/>
              </w:rPr>
            </w:pPr>
            <w:r w:rsidRPr="00B67178">
              <w:rPr>
                <w:sz w:val="24"/>
                <w:szCs w:val="24"/>
              </w:rPr>
              <w:t>Tale percorso valorizza la costruzione di processi di empowerment tra gli adolescenti quale risorsa primaria per promuovere salute all’interno del proprio sistema di pari. L’approccio degli adulti al sistema di pari non avviene in termini di rischio o pressione, bensì in termini di potenzialità, risorse, competenze</w:t>
            </w:r>
          </w:p>
        </w:tc>
      </w:tr>
      <w:tr w:rsidR="000449DC" w:rsidRPr="000449DC" w:rsidTr="000449DC">
        <w:tc>
          <w:tcPr>
            <w:tcW w:w="9778" w:type="dxa"/>
            <w:shd w:val="clear" w:color="auto" w:fill="D9D9D9" w:themeFill="background1" w:themeFillShade="D9"/>
          </w:tcPr>
          <w:p w:rsidR="000449DC" w:rsidRPr="000449DC" w:rsidRDefault="000449DC" w:rsidP="000449DC">
            <w:pPr>
              <w:rPr>
                <w:lang w:val="en-US"/>
              </w:rPr>
            </w:pPr>
            <w:r w:rsidRPr="000449DC">
              <w:rPr>
                <w:b/>
                <w:sz w:val="28"/>
                <w:szCs w:val="28"/>
              </w:rPr>
              <w:lastRenderedPageBreak/>
              <w:t>SISTEMA DI SORVEGLIANZA</w:t>
            </w:r>
          </w:p>
        </w:tc>
      </w:tr>
      <w:tr w:rsidR="000449DC" w:rsidRPr="000449DC" w:rsidTr="00DC3842">
        <w:trPr>
          <w:trHeight w:val="3895"/>
        </w:trPr>
        <w:tc>
          <w:tcPr>
            <w:tcW w:w="9778" w:type="dxa"/>
            <w:vAlign w:val="center"/>
          </w:tcPr>
          <w:p w:rsidR="00B67178" w:rsidRPr="00B67178" w:rsidRDefault="00B67178" w:rsidP="00C41044">
            <w:pPr>
              <w:autoSpaceDE w:val="0"/>
              <w:autoSpaceDN w:val="0"/>
              <w:adjustRightInd w:val="0"/>
              <w:ind w:right="206" w:firstLine="142"/>
              <w:jc w:val="both"/>
              <w:rPr>
                <w:sz w:val="24"/>
                <w:szCs w:val="24"/>
              </w:rPr>
            </w:pPr>
            <w:r w:rsidRPr="00B67178">
              <w:rPr>
                <w:sz w:val="24"/>
                <w:szCs w:val="24"/>
              </w:rPr>
              <w:t xml:space="preserve">Questo programma di prevenzione pone le sue basi strutturali su Educazione Razionale-Emotiva (ERE), Life Skills, Intelligenza emotiva (Goleman, 1996) e Resilienza. </w:t>
            </w:r>
          </w:p>
          <w:p w:rsidR="00B67178" w:rsidRPr="00B67178" w:rsidRDefault="00B67178" w:rsidP="00C41044">
            <w:pPr>
              <w:ind w:right="206"/>
              <w:jc w:val="both"/>
              <w:rPr>
                <w:sz w:val="24"/>
                <w:szCs w:val="24"/>
              </w:rPr>
            </w:pPr>
            <w:r w:rsidRPr="00B67178">
              <w:rPr>
                <w:sz w:val="24"/>
                <w:szCs w:val="24"/>
              </w:rPr>
              <w:t>L’ERE è una procedura psicoeducativa che mira ad educare l’individuo ad affrontare le proprie emozioni disfunzionali imparando a potenziare la propria capacità di pensare in modo costruttivo e razionale</w:t>
            </w:r>
            <w:r w:rsidR="009C7694">
              <w:rPr>
                <w:sz w:val="24"/>
                <w:szCs w:val="24"/>
              </w:rPr>
              <w:t xml:space="preserve"> </w:t>
            </w:r>
            <w:r w:rsidRPr="00B67178">
              <w:rPr>
                <w:sz w:val="24"/>
                <w:szCs w:val="24"/>
              </w:rPr>
              <w:t xml:space="preserve">(Di Pietro, Dacomo 2014 in Giochi e attività sulle emozioni, Erikson). </w:t>
            </w:r>
          </w:p>
          <w:p w:rsidR="00B67178" w:rsidRPr="00B67178" w:rsidRDefault="00B67178" w:rsidP="00C41044">
            <w:pPr>
              <w:autoSpaceDE w:val="0"/>
              <w:autoSpaceDN w:val="0"/>
              <w:adjustRightInd w:val="0"/>
              <w:ind w:right="206" w:firstLine="142"/>
              <w:jc w:val="both"/>
              <w:rPr>
                <w:sz w:val="24"/>
                <w:szCs w:val="24"/>
              </w:rPr>
            </w:pPr>
            <w:r w:rsidRPr="00B67178">
              <w:rPr>
                <w:sz w:val="24"/>
                <w:szCs w:val="24"/>
              </w:rPr>
              <w:t>Il modello delle Life Skills, è quello proposto dall’OMS</w:t>
            </w:r>
            <w:r w:rsidR="00DC3842">
              <w:rPr>
                <w:sz w:val="24"/>
                <w:szCs w:val="24"/>
              </w:rPr>
              <w:t xml:space="preserve"> </w:t>
            </w:r>
            <w:r w:rsidRPr="00B67178">
              <w:rPr>
                <w:sz w:val="24"/>
                <w:szCs w:val="24"/>
              </w:rPr>
              <w:t xml:space="preserve">(1993) per aumentare </w:t>
            </w:r>
            <w:r w:rsidR="00DC3842">
              <w:rPr>
                <w:sz w:val="24"/>
                <w:szCs w:val="24"/>
              </w:rPr>
              <w:t xml:space="preserve">le </w:t>
            </w:r>
            <w:r w:rsidRPr="00B67178">
              <w:rPr>
                <w:sz w:val="24"/>
                <w:szCs w:val="24"/>
              </w:rPr>
              <w:t>abilità psicosociali dell’area personale, sociale, interpersonale, cognitiva e affettiva dell’individuo, adottandole quali tecniche privilegiate per la promozione dell’Educazione alla Salute nell’ambito scolastico.</w:t>
            </w:r>
          </w:p>
          <w:p w:rsidR="0039237B" w:rsidRPr="006E2488" w:rsidRDefault="00B67178" w:rsidP="00C41044">
            <w:pPr>
              <w:autoSpaceDE w:val="0"/>
              <w:autoSpaceDN w:val="0"/>
              <w:adjustRightInd w:val="0"/>
              <w:ind w:right="206" w:firstLine="142"/>
              <w:jc w:val="both"/>
            </w:pPr>
            <w:r w:rsidRPr="00B67178">
              <w:rPr>
                <w:sz w:val="24"/>
                <w:szCs w:val="24"/>
              </w:rPr>
              <w:t xml:space="preserve">Nell’ambito del programma, inoltre, sono predisposte azioni per il riconoscimento tempestivo dei soggetti con problemi emozionali e/o comportamentali e di disagio sociale, sistemi per il collegamento dell’adolescente con una rete a lui dedicata nel territorio, la consulenza, la diagnosi e la presa in carico. </w:t>
            </w:r>
            <w:r>
              <w:rPr>
                <w:sz w:val="24"/>
                <w:szCs w:val="24"/>
              </w:rPr>
              <w:t xml:space="preserve"> </w:t>
            </w:r>
          </w:p>
        </w:tc>
      </w:tr>
      <w:tr w:rsidR="006E2488" w:rsidRPr="000449DC" w:rsidTr="006E2488">
        <w:tc>
          <w:tcPr>
            <w:tcW w:w="9778" w:type="dxa"/>
            <w:shd w:val="clear" w:color="auto" w:fill="D9D9D9" w:themeFill="background1" w:themeFillShade="D9"/>
          </w:tcPr>
          <w:p w:rsidR="006E2488" w:rsidRPr="006E2488" w:rsidRDefault="006E2488" w:rsidP="006E2488">
            <w:pPr>
              <w:rPr>
                <w:sz w:val="24"/>
                <w:szCs w:val="24"/>
              </w:rPr>
            </w:pPr>
            <w:r w:rsidRPr="006E2488">
              <w:rPr>
                <w:b/>
                <w:sz w:val="28"/>
                <w:szCs w:val="28"/>
              </w:rPr>
              <w:t>CONTRASTO ALLE DISEGUAGLIANZE</w:t>
            </w:r>
          </w:p>
        </w:tc>
      </w:tr>
      <w:tr w:rsidR="006E2488" w:rsidRPr="000449DC" w:rsidTr="00C41044">
        <w:trPr>
          <w:trHeight w:val="7000"/>
        </w:trPr>
        <w:tc>
          <w:tcPr>
            <w:tcW w:w="9778" w:type="dxa"/>
            <w:vAlign w:val="center"/>
          </w:tcPr>
          <w:p w:rsidR="00B67178" w:rsidRPr="00B67178" w:rsidRDefault="00B67178" w:rsidP="00C41044">
            <w:pPr>
              <w:autoSpaceDE w:val="0"/>
              <w:autoSpaceDN w:val="0"/>
              <w:adjustRightInd w:val="0"/>
              <w:ind w:right="206" w:firstLine="142"/>
              <w:jc w:val="both"/>
              <w:rPr>
                <w:b/>
                <w:sz w:val="24"/>
                <w:szCs w:val="24"/>
              </w:rPr>
            </w:pPr>
            <w:r w:rsidRPr="00B67178">
              <w:rPr>
                <w:sz w:val="24"/>
                <w:szCs w:val="24"/>
              </w:rPr>
              <w:lastRenderedPageBreak/>
              <w:t>Gli interventi saranno imperniati sull’insegnamento della capacità di definire obiettivi realistici e stimolanti, di affrontare e risolvere problemi, di comunicare in modo più efficace e assertivo, di sviluppare l’autodisciplina, di migliorare le abilità di negoziazione e di cooperazione, di migliorare la capacità di controllo degli impulsi e di promuovere quella di tenere maggior conto delle reazioni emotive degli altri.</w:t>
            </w:r>
          </w:p>
          <w:p w:rsidR="00B67178" w:rsidRPr="00B67178" w:rsidRDefault="00B67178" w:rsidP="00C41044">
            <w:pPr>
              <w:pStyle w:val="Paragrafoelenco"/>
              <w:numPr>
                <w:ilvl w:val="0"/>
                <w:numId w:val="19"/>
              </w:numPr>
              <w:ind w:left="284" w:right="206" w:hanging="284"/>
              <w:rPr>
                <w:sz w:val="24"/>
                <w:szCs w:val="24"/>
              </w:rPr>
            </w:pPr>
            <w:r w:rsidRPr="00B67178">
              <w:rPr>
                <w:sz w:val="24"/>
                <w:szCs w:val="24"/>
              </w:rPr>
              <w:t xml:space="preserve">La conoscenza delle proprie emozioni – Consapevolezza di sé: l’autoconsapevolezza o consapevolezza di sé, intesa come la capacità di riconoscere un sentimento nel momento in cui esso si presenta. Comporta la conoscenza dei propri stati interiori: preferenze, risorse e intuizioni. </w:t>
            </w:r>
          </w:p>
          <w:p w:rsidR="00B67178" w:rsidRPr="00B67178" w:rsidRDefault="00B67178" w:rsidP="00C41044">
            <w:pPr>
              <w:pStyle w:val="Paragrafoelenco"/>
              <w:numPr>
                <w:ilvl w:val="0"/>
                <w:numId w:val="19"/>
              </w:numPr>
              <w:ind w:left="284" w:right="206" w:hanging="284"/>
              <w:rPr>
                <w:sz w:val="24"/>
                <w:szCs w:val="24"/>
              </w:rPr>
            </w:pPr>
            <w:r w:rsidRPr="00B67178">
              <w:rPr>
                <w:sz w:val="24"/>
                <w:szCs w:val="24"/>
              </w:rPr>
              <w:t xml:space="preserve">Il controllo delle emozioni – Padronanza di sé: la capacità di controllare i sentimenti in modo che essi siano appropriati, o padronanza di sé, che si fonda sull’autoconsapevolezza. Comporta la capacità di controllare i propri stati interiori, i propri impulsi, le proprie risorse. </w:t>
            </w:r>
          </w:p>
          <w:p w:rsidR="00B67178" w:rsidRPr="00B67178" w:rsidRDefault="00B67178" w:rsidP="00C41044">
            <w:pPr>
              <w:pStyle w:val="Paragrafoelenco"/>
              <w:numPr>
                <w:ilvl w:val="0"/>
                <w:numId w:val="19"/>
              </w:numPr>
              <w:ind w:left="284" w:right="206" w:hanging="284"/>
              <w:rPr>
                <w:sz w:val="24"/>
                <w:szCs w:val="24"/>
              </w:rPr>
            </w:pPr>
            <w:r w:rsidRPr="00B67178">
              <w:rPr>
                <w:sz w:val="24"/>
                <w:szCs w:val="24"/>
              </w:rPr>
              <w:t xml:space="preserve">La motivazione di se stessi – Motivazione: la capacità di dominare le emozioni per raggiungere un obiettivo ovvero la capacità di ritardare la gratificazione e di controllare gli impulsi. Comporta tendenze emotive che guidano o facilitano il raggiungimento di obiettivi. </w:t>
            </w:r>
          </w:p>
          <w:p w:rsidR="00B67178" w:rsidRPr="00B67178" w:rsidRDefault="00B67178" w:rsidP="00C41044">
            <w:pPr>
              <w:pStyle w:val="Paragrafoelenco"/>
              <w:numPr>
                <w:ilvl w:val="0"/>
                <w:numId w:val="19"/>
              </w:numPr>
              <w:ind w:left="284" w:right="206" w:hanging="284"/>
              <w:rPr>
                <w:sz w:val="24"/>
                <w:szCs w:val="24"/>
              </w:rPr>
            </w:pPr>
            <w:r w:rsidRPr="00B67178">
              <w:rPr>
                <w:sz w:val="24"/>
                <w:szCs w:val="24"/>
              </w:rPr>
              <w:t xml:space="preserve">Riconoscimento delle emozioni altrui – Empatia: la capacità di cogliere i sottili segnali sociali che indicano bisogni o desideri altrui. Comporta la consapevolezza dei sentimenti, delle esigenze e degli interessi altrui. </w:t>
            </w:r>
          </w:p>
          <w:p w:rsidR="00B67178" w:rsidRPr="00B67178" w:rsidRDefault="00B67178" w:rsidP="00C41044">
            <w:pPr>
              <w:pStyle w:val="Paragrafoelenco"/>
              <w:numPr>
                <w:ilvl w:val="0"/>
                <w:numId w:val="19"/>
              </w:numPr>
              <w:ind w:left="284" w:right="206" w:hanging="284"/>
              <w:rPr>
                <w:sz w:val="24"/>
                <w:szCs w:val="24"/>
              </w:rPr>
            </w:pPr>
            <w:r w:rsidRPr="00B67178">
              <w:rPr>
                <w:sz w:val="24"/>
                <w:szCs w:val="24"/>
              </w:rPr>
              <w:t xml:space="preserve">Gestione delle relazioni – Abilità sociali: abilità nelle relazioni interpersonali. Comportano abilità nell’indurre risposte desiderabili negli altri. </w:t>
            </w:r>
          </w:p>
          <w:p w:rsidR="006E2488" w:rsidRPr="00B67178" w:rsidRDefault="00B67178" w:rsidP="00C41044">
            <w:pPr>
              <w:pStyle w:val="Paragrafoelenco"/>
              <w:numPr>
                <w:ilvl w:val="0"/>
                <w:numId w:val="19"/>
              </w:numPr>
              <w:ind w:left="284" w:right="206" w:hanging="284"/>
              <w:rPr>
                <w:sz w:val="24"/>
                <w:szCs w:val="24"/>
              </w:rPr>
            </w:pPr>
            <w:r w:rsidRPr="00B67178">
              <w:rPr>
                <w:sz w:val="24"/>
                <w:szCs w:val="24"/>
              </w:rPr>
              <w:t xml:space="preserve">Questo lavoro di alfabetizzazione emotiva pone le basi per l’obiettivo principale del progetto che è quello di rafforzare le capacità di resilienza e promozione dei processi di empowerment personali e sociali </w:t>
            </w:r>
          </w:p>
        </w:tc>
      </w:tr>
      <w:tr w:rsidR="000449DC" w:rsidRPr="000449DC" w:rsidTr="000449DC">
        <w:tc>
          <w:tcPr>
            <w:tcW w:w="9778" w:type="dxa"/>
            <w:shd w:val="clear" w:color="auto" w:fill="D9D9D9" w:themeFill="background1" w:themeFillShade="D9"/>
          </w:tcPr>
          <w:p w:rsidR="000449DC" w:rsidRPr="000449DC" w:rsidRDefault="000449DC" w:rsidP="000449DC">
            <w:pPr>
              <w:rPr>
                <w:lang w:val="en-US"/>
              </w:rPr>
            </w:pPr>
            <w:r w:rsidRPr="000449DC">
              <w:rPr>
                <w:b/>
                <w:sz w:val="28"/>
                <w:szCs w:val="28"/>
              </w:rPr>
              <w:t>OBIETTIVO SPECIFICO</w:t>
            </w:r>
          </w:p>
        </w:tc>
      </w:tr>
      <w:tr w:rsidR="000449DC" w:rsidRPr="000449DC" w:rsidTr="00AD7A59">
        <w:trPr>
          <w:trHeight w:val="1338"/>
        </w:trPr>
        <w:tc>
          <w:tcPr>
            <w:tcW w:w="9778" w:type="dxa"/>
            <w:vAlign w:val="center"/>
          </w:tcPr>
          <w:p w:rsidR="000449DC" w:rsidRDefault="00AD7A59" w:rsidP="00AD7A59">
            <w:pPr>
              <w:ind w:left="360" w:right="206"/>
              <w:rPr>
                <w:sz w:val="24"/>
                <w:szCs w:val="24"/>
              </w:rPr>
            </w:pPr>
            <w:r w:rsidRPr="00AD7A59">
              <w:rPr>
                <w:b/>
                <w:sz w:val="24"/>
                <w:szCs w:val="24"/>
              </w:rPr>
              <w:t>AB.2.9.</w:t>
            </w:r>
            <w:r w:rsidRPr="00AD7A59">
              <w:rPr>
                <w:sz w:val="24"/>
                <w:szCs w:val="24"/>
              </w:rPr>
              <w:t xml:space="preserve"> - Aumentare la proporzione di popolazione in età adolescenziale in cui sono state intraprese azioni di rafforzamento e consolidamento delle abilità intrapersonali e interpersonali (benessere psicosociale).</w:t>
            </w:r>
          </w:p>
          <w:p w:rsidR="00AD7A59" w:rsidRPr="000449DC" w:rsidRDefault="00AD7A59" w:rsidP="00EB5A1F">
            <w:pPr>
              <w:ind w:left="360" w:right="206"/>
            </w:pPr>
            <w:r w:rsidRPr="00AD7A59">
              <w:rPr>
                <w:b/>
              </w:rPr>
              <w:t>AB.2.1</w:t>
            </w:r>
            <w:r w:rsidR="00EB5A1F">
              <w:rPr>
                <w:b/>
              </w:rPr>
              <w:t>0</w:t>
            </w:r>
            <w:r w:rsidRPr="00AD7A59">
              <w:rPr>
                <w:b/>
              </w:rPr>
              <w:t>.</w:t>
            </w:r>
            <w:r>
              <w:t xml:space="preserve"> – Rafforzare le capacità personali e sociali di resilienza e di empowerment </w:t>
            </w:r>
          </w:p>
        </w:tc>
      </w:tr>
      <w:tr w:rsidR="000449DC" w:rsidRPr="000449DC" w:rsidTr="000449DC">
        <w:tc>
          <w:tcPr>
            <w:tcW w:w="9778" w:type="dxa"/>
            <w:shd w:val="clear" w:color="auto" w:fill="D9D9D9" w:themeFill="background1" w:themeFillShade="D9"/>
          </w:tcPr>
          <w:p w:rsidR="000449DC" w:rsidRPr="000449DC" w:rsidRDefault="000449DC">
            <w:r w:rsidRPr="00273D08">
              <w:rPr>
                <w:b/>
                <w:sz w:val="28"/>
                <w:szCs w:val="28"/>
              </w:rPr>
              <w:t>TARGET</w:t>
            </w:r>
          </w:p>
        </w:tc>
      </w:tr>
      <w:tr w:rsidR="000449DC" w:rsidRPr="000449DC" w:rsidTr="000449DC">
        <w:tc>
          <w:tcPr>
            <w:tcW w:w="9778" w:type="dxa"/>
          </w:tcPr>
          <w:p w:rsidR="005F22CF" w:rsidRDefault="00DC3842" w:rsidP="00C41044">
            <w:pPr>
              <w:autoSpaceDE w:val="0"/>
              <w:autoSpaceDN w:val="0"/>
              <w:adjustRightInd w:val="0"/>
              <w:ind w:firstLine="142"/>
              <w:jc w:val="both"/>
              <w:rPr>
                <w:sz w:val="28"/>
                <w:szCs w:val="28"/>
              </w:rPr>
            </w:pPr>
            <w:r>
              <w:rPr>
                <w:sz w:val="28"/>
                <w:szCs w:val="28"/>
              </w:rPr>
              <w:t>Insegnanti e studenti delle s</w:t>
            </w:r>
            <w:r w:rsidR="005F22CF">
              <w:rPr>
                <w:sz w:val="28"/>
                <w:szCs w:val="28"/>
              </w:rPr>
              <w:t xml:space="preserve">cuole </w:t>
            </w:r>
            <w:r w:rsidR="005F22CF" w:rsidRPr="00C41044">
              <w:rPr>
                <w:sz w:val="24"/>
                <w:szCs w:val="24"/>
              </w:rPr>
              <w:t>secondarie</w:t>
            </w:r>
            <w:r w:rsidR="005F22CF">
              <w:rPr>
                <w:sz w:val="28"/>
                <w:szCs w:val="28"/>
              </w:rPr>
              <w:t xml:space="preserve"> di Primo e di secondo grado</w:t>
            </w:r>
            <w:r>
              <w:rPr>
                <w:sz w:val="28"/>
                <w:szCs w:val="28"/>
              </w:rPr>
              <w:t>, famiglie</w:t>
            </w:r>
          </w:p>
          <w:p w:rsidR="009035FE" w:rsidRPr="006E2488" w:rsidRDefault="005F22CF" w:rsidP="00C41044">
            <w:pPr>
              <w:autoSpaceDE w:val="0"/>
              <w:autoSpaceDN w:val="0"/>
              <w:adjustRightInd w:val="0"/>
              <w:ind w:firstLine="142"/>
              <w:jc w:val="both"/>
              <w:rPr>
                <w:rFonts w:cstheme="minorHAnsi"/>
              </w:rPr>
            </w:pPr>
            <w:r>
              <w:rPr>
                <w:sz w:val="28"/>
                <w:szCs w:val="28"/>
              </w:rPr>
              <w:t xml:space="preserve">(2^ o 3^ I </w:t>
            </w:r>
            <w:r w:rsidRPr="00C41044">
              <w:rPr>
                <w:sz w:val="24"/>
                <w:szCs w:val="24"/>
              </w:rPr>
              <w:t>grado</w:t>
            </w:r>
            <w:r>
              <w:rPr>
                <w:sz w:val="28"/>
                <w:szCs w:val="28"/>
              </w:rPr>
              <w:t xml:space="preserve"> e biennio II grado)</w:t>
            </w:r>
          </w:p>
        </w:tc>
      </w:tr>
      <w:tr w:rsidR="000449DC" w:rsidRPr="000449DC" w:rsidTr="000449DC">
        <w:tc>
          <w:tcPr>
            <w:tcW w:w="9778" w:type="dxa"/>
            <w:shd w:val="clear" w:color="auto" w:fill="D9D9D9" w:themeFill="background1" w:themeFillShade="D9"/>
          </w:tcPr>
          <w:p w:rsidR="000449DC" w:rsidRPr="004078D6" w:rsidRDefault="000449DC">
            <w:pPr>
              <w:rPr>
                <w:rFonts w:cstheme="minorHAnsi"/>
              </w:rPr>
            </w:pPr>
            <w:r w:rsidRPr="004078D6">
              <w:rPr>
                <w:rFonts w:cstheme="minorHAnsi"/>
                <w:b/>
                <w:sz w:val="28"/>
                <w:szCs w:val="28"/>
              </w:rPr>
              <w:t>SETTING</w:t>
            </w:r>
          </w:p>
        </w:tc>
      </w:tr>
      <w:tr w:rsidR="000449DC" w:rsidRPr="000449DC" w:rsidTr="000449DC">
        <w:tc>
          <w:tcPr>
            <w:tcW w:w="9778" w:type="dxa"/>
          </w:tcPr>
          <w:p w:rsidR="000449DC" w:rsidRPr="005F22CF" w:rsidRDefault="005F22CF" w:rsidP="00DC3842">
            <w:pPr>
              <w:autoSpaceDE w:val="0"/>
              <w:autoSpaceDN w:val="0"/>
              <w:adjustRightInd w:val="0"/>
              <w:ind w:firstLine="142"/>
              <w:jc w:val="both"/>
              <w:rPr>
                <w:sz w:val="24"/>
                <w:szCs w:val="24"/>
              </w:rPr>
            </w:pPr>
            <w:r>
              <w:rPr>
                <w:sz w:val="24"/>
                <w:szCs w:val="24"/>
              </w:rPr>
              <w:t>S</w:t>
            </w:r>
            <w:r w:rsidRPr="005F22CF">
              <w:rPr>
                <w:sz w:val="24"/>
                <w:szCs w:val="24"/>
              </w:rPr>
              <w:t>cuola</w:t>
            </w:r>
            <w:r w:rsidR="00DC3842">
              <w:rPr>
                <w:sz w:val="24"/>
                <w:szCs w:val="24"/>
              </w:rPr>
              <w:t xml:space="preserve"> </w:t>
            </w:r>
          </w:p>
        </w:tc>
      </w:tr>
      <w:tr w:rsidR="000449DC" w:rsidRPr="000449DC" w:rsidTr="000449DC">
        <w:tc>
          <w:tcPr>
            <w:tcW w:w="9778" w:type="dxa"/>
            <w:shd w:val="clear" w:color="auto" w:fill="D9D9D9" w:themeFill="background1" w:themeFillShade="D9"/>
          </w:tcPr>
          <w:p w:rsidR="000449DC" w:rsidRPr="000449DC" w:rsidRDefault="000449DC">
            <w:r w:rsidRPr="00273D08">
              <w:rPr>
                <w:b/>
                <w:sz w:val="28"/>
                <w:szCs w:val="28"/>
              </w:rPr>
              <w:t>INTERSETTORIALIT</w:t>
            </w:r>
            <w:r w:rsidR="00C41044">
              <w:rPr>
                <w:b/>
                <w:sz w:val="28"/>
                <w:szCs w:val="28"/>
              </w:rPr>
              <w:t>À</w:t>
            </w:r>
          </w:p>
        </w:tc>
      </w:tr>
      <w:tr w:rsidR="000449DC" w:rsidRPr="000449DC" w:rsidTr="00DC3842">
        <w:trPr>
          <w:trHeight w:val="488"/>
        </w:trPr>
        <w:tc>
          <w:tcPr>
            <w:tcW w:w="9778" w:type="dxa"/>
            <w:vAlign w:val="center"/>
          </w:tcPr>
          <w:p w:rsidR="000449DC" w:rsidRPr="00273D08" w:rsidRDefault="00DC3842" w:rsidP="00DC3842">
            <w:pPr>
              <w:autoSpaceDE w:val="0"/>
              <w:autoSpaceDN w:val="0"/>
              <w:adjustRightInd w:val="0"/>
              <w:ind w:firstLine="142"/>
              <w:rPr>
                <w:b/>
                <w:sz w:val="28"/>
                <w:szCs w:val="28"/>
              </w:rPr>
            </w:pPr>
            <w:r>
              <w:rPr>
                <w:sz w:val="24"/>
                <w:szCs w:val="24"/>
              </w:rPr>
              <w:t>Scuola, Operatori Sanitari</w:t>
            </w:r>
          </w:p>
        </w:tc>
      </w:tr>
      <w:tr w:rsidR="000449DC" w:rsidRPr="000449DC" w:rsidTr="000449DC">
        <w:tc>
          <w:tcPr>
            <w:tcW w:w="9778" w:type="dxa"/>
            <w:shd w:val="clear" w:color="auto" w:fill="D9D9D9" w:themeFill="background1" w:themeFillShade="D9"/>
          </w:tcPr>
          <w:p w:rsidR="000449DC" w:rsidRPr="00273D08" w:rsidRDefault="000449DC" w:rsidP="00D1652F">
            <w:pPr>
              <w:rPr>
                <w:b/>
                <w:sz w:val="28"/>
                <w:szCs w:val="28"/>
              </w:rPr>
            </w:pPr>
            <w:r w:rsidRPr="000449DC">
              <w:rPr>
                <w:b/>
                <w:sz w:val="28"/>
                <w:szCs w:val="28"/>
              </w:rPr>
              <w:t xml:space="preserve">INDICATORI </w:t>
            </w:r>
          </w:p>
        </w:tc>
      </w:tr>
      <w:tr w:rsidR="000449DC" w:rsidRPr="000449DC" w:rsidTr="000449DC">
        <w:tc>
          <w:tcPr>
            <w:tcW w:w="9778" w:type="dxa"/>
          </w:tcPr>
          <w:p w:rsidR="00CF4934" w:rsidRDefault="00CF4934" w:rsidP="006E2488">
            <w:pPr>
              <w:ind w:left="720"/>
              <w:jc w:val="both"/>
              <w:rPr>
                <w:b/>
                <w:sz w:val="28"/>
                <w:szCs w:val="28"/>
              </w:rPr>
            </w:pPr>
          </w:p>
          <w:tbl>
            <w:tblPr>
              <w:tblStyle w:val="Grigliatabella"/>
              <w:tblW w:w="0" w:type="auto"/>
              <w:tblInd w:w="279" w:type="dxa"/>
              <w:tblLook w:val="04A0"/>
            </w:tblPr>
            <w:tblGrid>
              <w:gridCol w:w="2977"/>
              <w:gridCol w:w="1134"/>
              <w:gridCol w:w="1653"/>
              <w:gridCol w:w="1654"/>
              <w:gridCol w:w="1654"/>
            </w:tblGrid>
            <w:tr w:rsidR="00F321A3" w:rsidTr="00F321A3">
              <w:trPr>
                <w:trHeight w:val="591"/>
              </w:trPr>
              <w:tc>
                <w:tcPr>
                  <w:tcW w:w="2977" w:type="dxa"/>
                </w:tcPr>
                <w:p w:rsidR="00F321A3" w:rsidRPr="00351280" w:rsidRDefault="00F321A3" w:rsidP="001746B8">
                  <w:pPr>
                    <w:pStyle w:val="Paragrafoelenco"/>
                    <w:ind w:left="0"/>
                    <w:jc w:val="left"/>
                    <w:rPr>
                      <w:b/>
                      <w:sz w:val="24"/>
                      <w:szCs w:val="24"/>
                    </w:rPr>
                  </w:pPr>
                  <w:r w:rsidRPr="00351280">
                    <w:rPr>
                      <w:b/>
                      <w:sz w:val="24"/>
                      <w:szCs w:val="24"/>
                    </w:rPr>
                    <w:t>Indicatori di Processo</w:t>
                  </w:r>
                </w:p>
                <w:p w:rsidR="00F321A3" w:rsidRPr="00351280" w:rsidRDefault="00F321A3" w:rsidP="001746B8">
                  <w:pPr>
                    <w:pStyle w:val="Paragrafoelenco"/>
                    <w:ind w:left="0"/>
                    <w:jc w:val="left"/>
                    <w:rPr>
                      <w:sz w:val="24"/>
                      <w:szCs w:val="24"/>
                    </w:rPr>
                  </w:pPr>
                  <w:r w:rsidRPr="00351280">
                    <w:rPr>
                      <w:sz w:val="24"/>
                      <w:szCs w:val="24"/>
                    </w:rPr>
                    <w:t>Fonte: Registri di Attività</w:t>
                  </w:r>
                </w:p>
              </w:tc>
              <w:tc>
                <w:tcPr>
                  <w:tcW w:w="1134" w:type="dxa"/>
                  <w:vAlign w:val="center"/>
                </w:tcPr>
                <w:p w:rsidR="00F321A3" w:rsidRPr="00351280" w:rsidRDefault="00F321A3" w:rsidP="001746B8">
                  <w:pPr>
                    <w:pStyle w:val="Paragrafoelenco"/>
                    <w:ind w:left="0"/>
                    <w:jc w:val="center"/>
                    <w:rPr>
                      <w:b/>
                      <w:sz w:val="24"/>
                      <w:szCs w:val="24"/>
                    </w:rPr>
                  </w:pPr>
                  <w:r w:rsidRPr="00351280">
                    <w:rPr>
                      <w:b/>
                      <w:sz w:val="24"/>
                      <w:szCs w:val="24"/>
                    </w:rPr>
                    <w:t>Baseline</w:t>
                  </w:r>
                </w:p>
              </w:tc>
              <w:tc>
                <w:tcPr>
                  <w:tcW w:w="1653" w:type="dxa"/>
                  <w:vAlign w:val="center"/>
                </w:tcPr>
                <w:p w:rsidR="00F321A3" w:rsidRPr="00351280" w:rsidRDefault="00F321A3" w:rsidP="001746B8">
                  <w:pPr>
                    <w:pStyle w:val="Paragrafoelenco"/>
                    <w:ind w:left="0"/>
                    <w:jc w:val="center"/>
                    <w:rPr>
                      <w:b/>
                      <w:sz w:val="24"/>
                      <w:szCs w:val="24"/>
                    </w:rPr>
                  </w:pPr>
                  <w:r w:rsidRPr="00351280">
                    <w:rPr>
                      <w:b/>
                      <w:sz w:val="24"/>
                      <w:szCs w:val="24"/>
                    </w:rPr>
                    <w:t>Valore atteso 2016</w:t>
                  </w:r>
                </w:p>
              </w:tc>
              <w:tc>
                <w:tcPr>
                  <w:tcW w:w="1654" w:type="dxa"/>
                  <w:vAlign w:val="center"/>
                </w:tcPr>
                <w:p w:rsidR="00F321A3" w:rsidRPr="00351280" w:rsidRDefault="00F321A3" w:rsidP="001746B8">
                  <w:pPr>
                    <w:pStyle w:val="Paragrafoelenco"/>
                    <w:ind w:left="0"/>
                    <w:jc w:val="center"/>
                    <w:rPr>
                      <w:b/>
                      <w:sz w:val="24"/>
                      <w:szCs w:val="24"/>
                    </w:rPr>
                  </w:pPr>
                  <w:r w:rsidRPr="00351280">
                    <w:rPr>
                      <w:b/>
                      <w:sz w:val="24"/>
                      <w:szCs w:val="24"/>
                    </w:rPr>
                    <w:t>Valore atteso 2017</w:t>
                  </w:r>
                </w:p>
              </w:tc>
              <w:tc>
                <w:tcPr>
                  <w:tcW w:w="1654" w:type="dxa"/>
                  <w:vAlign w:val="center"/>
                </w:tcPr>
                <w:p w:rsidR="00F321A3" w:rsidRPr="00351280" w:rsidRDefault="00F321A3" w:rsidP="001746B8">
                  <w:pPr>
                    <w:pStyle w:val="Paragrafoelenco"/>
                    <w:ind w:left="0"/>
                    <w:jc w:val="center"/>
                    <w:rPr>
                      <w:b/>
                      <w:sz w:val="24"/>
                      <w:szCs w:val="24"/>
                    </w:rPr>
                  </w:pPr>
                  <w:r w:rsidRPr="00351280">
                    <w:rPr>
                      <w:b/>
                      <w:sz w:val="24"/>
                      <w:szCs w:val="24"/>
                    </w:rPr>
                    <w:t>Valore atteso 2018</w:t>
                  </w:r>
                </w:p>
              </w:tc>
            </w:tr>
            <w:tr w:rsidR="00F321A3" w:rsidTr="00F321A3">
              <w:trPr>
                <w:trHeight w:val="1094"/>
              </w:trPr>
              <w:tc>
                <w:tcPr>
                  <w:tcW w:w="2977" w:type="dxa"/>
                  <w:vAlign w:val="center"/>
                </w:tcPr>
                <w:p w:rsidR="00F321A3" w:rsidRPr="005F22CF" w:rsidRDefault="00F321A3" w:rsidP="001746B8">
                  <w:pPr>
                    <w:pStyle w:val="Paragrafoelenco"/>
                    <w:ind w:left="0"/>
                    <w:jc w:val="left"/>
                  </w:pPr>
                  <w:r w:rsidRPr="00F321A3">
                    <w:rPr>
                      <w:sz w:val="20"/>
                    </w:rPr>
                    <w:t>Proporzione di Istituti Scolastici che aderiscono (con almeno l’80% degli  alunni) alla progettazione regionale specifica</w:t>
                  </w:r>
                </w:p>
              </w:tc>
              <w:tc>
                <w:tcPr>
                  <w:tcW w:w="1134" w:type="dxa"/>
                  <w:vAlign w:val="center"/>
                </w:tcPr>
                <w:p w:rsidR="00F321A3" w:rsidRPr="005F22CF" w:rsidRDefault="00F321A3" w:rsidP="001746B8">
                  <w:pPr>
                    <w:pStyle w:val="Paragrafoelenco"/>
                    <w:ind w:left="0"/>
                    <w:jc w:val="center"/>
                    <w:rPr>
                      <w:color w:val="FF0000"/>
                    </w:rPr>
                  </w:pPr>
                  <w:r w:rsidRPr="005F22CF">
                    <w:t>0</w:t>
                  </w:r>
                </w:p>
              </w:tc>
              <w:tc>
                <w:tcPr>
                  <w:tcW w:w="1653" w:type="dxa"/>
                  <w:vAlign w:val="center"/>
                </w:tcPr>
                <w:p w:rsidR="00F321A3" w:rsidRPr="005F22CF" w:rsidRDefault="00AD7A59" w:rsidP="001746B8">
                  <w:pPr>
                    <w:pStyle w:val="Paragrafoelenco"/>
                    <w:ind w:left="0"/>
                    <w:jc w:val="center"/>
                  </w:pPr>
                  <w:r>
                    <w:t>5</w:t>
                  </w:r>
                  <w:r w:rsidR="00F321A3" w:rsidRPr="005F22CF">
                    <w:t>%</w:t>
                  </w:r>
                </w:p>
              </w:tc>
              <w:tc>
                <w:tcPr>
                  <w:tcW w:w="1654" w:type="dxa"/>
                  <w:vAlign w:val="center"/>
                </w:tcPr>
                <w:p w:rsidR="00F321A3" w:rsidRPr="005F22CF" w:rsidRDefault="00AD7A59" w:rsidP="001746B8">
                  <w:pPr>
                    <w:pStyle w:val="Paragrafoelenco"/>
                    <w:ind w:left="0"/>
                    <w:jc w:val="center"/>
                  </w:pPr>
                  <w:r>
                    <w:t>10</w:t>
                  </w:r>
                  <w:r w:rsidR="00F321A3" w:rsidRPr="005F22CF">
                    <w:t>%</w:t>
                  </w:r>
                </w:p>
              </w:tc>
              <w:tc>
                <w:tcPr>
                  <w:tcW w:w="1654" w:type="dxa"/>
                  <w:vAlign w:val="center"/>
                </w:tcPr>
                <w:p w:rsidR="00F321A3" w:rsidRPr="005F22CF" w:rsidRDefault="00AD7A59" w:rsidP="001746B8">
                  <w:pPr>
                    <w:pStyle w:val="Paragrafoelenco"/>
                    <w:ind w:left="0"/>
                    <w:jc w:val="center"/>
                  </w:pPr>
                  <w:r>
                    <w:t>15</w:t>
                  </w:r>
                  <w:r w:rsidR="00F321A3" w:rsidRPr="005F22CF">
                    <w:t>%</w:t>
                  </w:r>
                </w:p>
              </w:tc>
            </w:tr>
            <w:tr w:rsidR="00F321A3" w:rsidTr="00F321A3">
              <w:trPr>
                <w:trHeight w:val="840"/>
              </w:trPr>
              <w:tc>
                <w:tcPr>
                  <w:tcW w:w="2977" w:type="dxa"/>
                  <w:vAlign w:val="center"/>
                </w:tcPr>
                <w:p w:rsidR="00F321A3" w:rsidRPr="005F22CF" w:rsidRDefault="00F321A3" w:rsidP="001746B8">
                  <w:pPr>
                    <w:pStyle w:val="Paragrafoelenco"/>
                    <w:ind w:left="0"/>
                    <w:jc w:val="left"/>
                  </w:pPr>
                  <w:r>
                    <w:lastRenderedPageBreak/>
                    <w:t>N° Incontri / interventi E.R.E. per gli insegnanti</w:t>
                  </w:r>
                </w:p>
              </w:tc>
              <w:tc>
                <w:tcPr>
                  <w:tcW w:w="1134" w:type="dxa"/>
                  <w:vAlign w:val="center"/>
                </w:tcPr>
                <w:p w:rsidR="00F321A3" w:rsidRDefault="00F321A3" w:rsidP="001746B8">
                  <w:pPr>
                    <w:pStyle w:val="Paragrafoelenco"/>
                    <w:ind w:left="0"/>
                    <w:jc w:val="center"/>
                  </w:pPr>
                  <w:r>
                    <w:t>0</w:t>
                  </w:r>
                </w:p>
              </w:tc>
              <w:tc>
                <w:tcPr>
                  <w:tcW w:w="1653" w:type="dxa"/>
                  <w:vAlign w:val="center"/>
                </w:tcPr>
                <w:p w:rsidR="00F321A3" w:rsidRPr="00F321A3" w:rsidRDefault="00F321A3" w:rsidP="001746B8">
                  <w:pPr>
                    <w:pStyle w:val="Paragrafoelenco"/>
                    <w:ind w:left="0"/>
                    <w:jc w:val="center"/>
                    <w:rPr>
                      <w:sz w:val="20"/>
                    </w:rPr>
                  </w:pPr>
                  <w:r w:rsidRPr="00F321A3">
                    <w:rPr>
                      <w:sz w:val="20"/>
                    </w:rPr>
                    <w:t>Almeno 2 incontri / anno</w:t>
                  </w:r>
                </w:p>
              </w:tc>
              <w:tc>
                <w:tcPr>
                  <w:tcW w:w="1654" w:type="dxa"/>
                  <w:vAlign w:val="center"/>
                </w:tcPr>
                <w:p w:rsidR="00F321A3" w:rsidRPr="00F321A3" w:rsidRDefault="00F321A3" w:rsidP="00F321A3">
                  <w:pPr>
                    <w:pStyle w:val="Paragrafoelenco"/>
                    <w:ind w:left="0"/>
                    <w:jc w:val="center"/>
                    <w:rPr>
                      <w:sz w:val="20"/>
                    </w:rPr>
                  </w:pPr>
                  <w:r w:rsidRPr="00F321A3">
                    <w:rPr>
                      <w:sz w:val="20"/>
                    </w:rPr>
                    <w:t>Almeno 3 incontri / anno</w:t>
                  </w:r>
                </w:p>
              </w:tc>
              <w:tc>
                <w:tcPr>
                  <w:tcW w:w="1654" w:type="dxa"/>
                  <w:vAlign w:val="center"/>
                </w:tcPr>
                <w:p w:rsidR="00F321A3" w:rsidRPr="00F321A3" w:rsidRDefault="00F321A3" w:rsidP="00F321A3">
                  <w:pPr>
                    <w:pStyle w:val="Paragrafoelenco"/>
                    <w:ind w:left="0"/>
                    <w:jc w:val="center"/>
                    <w:rPr>
                      <w:sz w:val="20"/>
                    </w:rPr>
                  </w:pPr>
                  <w:r w:rsidRPr="00F321A3">
                    <w:rPr>
                      <w:sz w:val="20"/>
                    </w:rPr>
                    <w:t>Almeno 4 incontri / anno</w:t>
                  </w:r>
                </w:p>
              </w:tc>
            </w:tr>
          </w:tbl>
          <w:p w:rsidR="00F321A3" w:rsidRDefault="00F321A3" w:rsidP="006E2488">
            <w:pPr>
              <w:ind w:left="720"/>
              <w:jc w:val="both"/>
              <w:rPr>
                <w:b/>
                <w:sz w:val="28"/>
                <w:szCs w:val="28"/>
              </w:rPr>
            </w:pPr>
          </w:p>
          <w:p w:rsidR="00CF4934" w:rsidRPr="00273D08" w:rsidRDefault="00CF4934" w:rsidP="006E2488">
            <w:pPr>
              <w:ind w:left="720"/>
              <w:jc w:val="both"/>
              <w:rPr>
                <w:b/>
                <w:sz w:val="28"/>
                <w:szCs w:val="28"/>
              </w:rPr>
            </w:pPr>
          </w:p>
        </w:tc>
      </w:tr>
      <w:tr w:rsidR="000449DC" w:rsidRPr="000449DC" w:rsidTr="000449DC">
        <w:tc>
          <w:tcPr>
            <w:tcW w:w="9778" w:type="dxa"/>
            <w:shd w:val="clear" w:color="auto" w:fill="D9D9D9" w:themeFill="background1" w:themeFillShade="D9"/>
          </w:tcPr>
          <w:p w:rsidR="000449DC" w:rsidRPr="00273D08" w:rsidRDefault="000449DC" w:rsidP="00C41044">
            <w:pPr>
              <w:rPr>
                <w:b/>
                <w:sz w:val="28"/>
                <w:szCs w:val="28"/>
              </w:rPr>
            </w:pPr>
            <w:r>
              <w:rPr>
                <w:b/>
                <w:sz w:val="28"/>
                <w:szCs w:val="28"/>
              </w:rPr>
              <w:lastRenderedPageBreak/>
              <w:t>ATTIVIT</w:t>
            </w:r>
            <w:r w:rsidR="00C41044">
              <w:rPr>
                <w:b/>
                <w:sz w:val="28"/>
                <w:szCs w:val="28"/>
              </w:rPr>
              <w:t>À</w:t>
            </w:r>
          </w:p>
        </w:tc>
      </w:tr>
      <w:tr w:rsidR="000449DC" w:rsidRPr="00B67178" w:rsidTr="008C382E">
        <w:trPr>
          <w:trHeight w:val="2112"/>
        </w:trPr>
        <w:tc>
          <w:tcPr>
            <w:tcW w:w="9778" w:type="dxa"/>
          </w:tcPr>
          <w:p w:rsidR="00B67178" w:rsidRPr="00B67178" w:rsidRDefault="006E2488" w:rsidP="00B67178">
            <w:pPr>
              <w:pStyle w:val="Paragrafoelenco"/>
              <w:numPr>
                <w:ilvl w:val="0"/>
                <w:numId w:val="21"/>
              </w:numPr>
              <w:autoSpaceDE w:val="0"/>
              <w:autoSpaceDN w:val="0"/>
              <w:adjustRightInd w:val="0"/>
              <w:rPr>
                <w:b/>
                <w:sz w:val="24"/>
                <w:szCs w:val="24"/>
              </w:rPr>
            </w:pPr>
            <w:r w:rsidRPr="00B67178">
              <w:rPr>
                <w:rFonts w:cs="Verdana"/>
                <w:bCs/>
                <w:color w:val="000000"/>
                <w:sz w:val="24"/>
                <w:szCs w:val="24"/>
              </w:rPr>
              <w:t xml:space="preserve"> </w:t>
            </w:r>
            <w:r w:rsidR="00B67178" w:rsidRPr="00B67178">
              <w:rPr>
                <w:b/>
                <w:sz w:val="24"/>
                <w:szCs w:val="24"/>
              </w:rPr>
              <w:t>Interventi per i Dirigenti Scolastici</w:t>
            </w:r>
          </w:p>
          <w:p w:rsidR="00B67178" w:rsidRPr="00B67178" w:rsidRDefault="00B67178" w:rsidP="00B67178">
            <w:pPr>
              <w:autoSpaceDE w:val="0"/>
              <w:autoSpaceDN w:val="0"/>
              <w:adjustRightInd w:val="0"/>
              <w:rPr>
                <w:b/>
                <w:sz w:val="24"/>
                <w:szCs w:val="24"/>
              </w:rPr>
            </w:pPr>
            <w:r w:rsidRPr="00B67178">
              <w:rPr>
                <w:b/>
                <w:sz w:val="24"/>
                <w:szCs w:val="24"/>
              </w:rPr>
              <w:t>Interventi  per gli insegnanti</w:t>
            </w:r>
          </w:p>
          <w:p w:rsidR="00B67178" w:rsidRPr="00B67178" w:rsidRDefault="00B67178" w:rsidP="00B67178">
            <w:pPr>
              <w:pStyle w:val="Paragrafoelenco"/>
              <w:numPr>
                <w:ilvl w:val="0"/>
                <w:numId w:val="21"/>
              </w:numPr>
              <w:autoSpaceDE w:val="0"/>
              <w:autoSpaceDN w:val="0"/>
              <w:adjustRightInd w:val="0"/>
              <w:rPr>
                <w:sz w:val="24"/>
                <w:szCs w:val="24"/>
              </w:rPr>
            </w:pPr>
            <w:r w:rsidRPr="00B67178">
              <w:rPr>
                <w:sz w:val="24"/>
                <w:szCs w:val="24"/>
              </w:rPr>
              <w:t>Si proporranno agli insegnanti dei programmi di educazione razionale-emotiva (ERE) da effettuare con gli alunni, al fine di creare situazioni di apprendimento in cui i ragazzi acquisiscano consapevolezza dei propri stati emotivi e dei meccanismi cognitivi che li influenzano per poi utilizzare queste conoscenze nella vita di ogni giorno.</w:t>
            </w:r>
          </w:p>
          <w:p w:rsidR="00B67178" w:rsidRPr="00B67178" w:rsidRDefault="00B67178" w:rsidP="00B67178">
            <w:pPr>
              <w:autoSpaceDE w:val="0"/>
              <w:autoSpaceDN w:val="0"/>
              <w:adjustRightInd w:val="0"/>
              <w:rPr>
                <w:b/>
                <w:sz w:val="24"/>
                <w:szCs w:val="24"/>
              </w:rPr>
            </w:pPr>
            <w:r w:rsidRPr="00B67178">
              <w:rPr>
                <w:b/>
                <w:sz w:val="24"/>
                <w:szCs w:val="24"/>
              </w:rPr>
              <w:t>Interventi per i ragazzi</w:t>
            </w:r>
          </w:p>
          <w:p w:rsidR="00B67178" w:rsidRPr="00B67178" w:rsidRDefault="00B67178" w:rsidP="00B67178">
            <w:pPr>
              <w:pStyle w:val="Paragrafoelenco"/>
              <w:numPr>
                <w:ilvl w:val="0"/>
                <w:numId w:val="21"/>
              </w:numPr>
              <w:autoSpaceDE w:val="0"/>
              <w:autoSpaceDN w:val="0"/>
              <w:adjustRightInd w:val="0"/>
              <w:rPr>
                <w:sz w:val="24"/>
                <w:szCs w:val="24"/>
              </w:rPr>
            </w:pPr>
            <w:r w:rsidRPr="00B67178">
              <w:rPr>
                <w:sz w:val="24"/>
                <w:szCs w:val="24"/>
              </w:rPr>
              <w:t>All’interno della scuola saranno effettuati degli incontri rivolti agli studenti, al fine di valorizzare le capacità personali dei giovani, in termini di autostima, autoefficacia, resilienza. Gli interventi si svolgeranno sia all’interno delle classi che all’interno di altri spazi scolastici, al fine di accrescere il senso di appartenenza e il rispetto degli studenti per l’ambiente scolastico. Inoltre l’obiettivo è rendere i ragazzi i protagonisti principali del progetto, guidandoli nella realizzazione di attività concrete (mostre, cortometraggi, video musicali, ecc.) attinenti al tema del progetto.</w:t>
            </w:r>
          </w:p>
          <w:p w:rsidR="00B67178" w:rsidRPr="00B67178" w:rsidRDefault="00B67178" w:rsidP="00B67178">
            <w:pPr>
              <w:autoSpaceDE w:val="0"/>
              <w:autoSpaceDN w:val="0"/>
              <w:adjustRightInd w:val="0"/>
              <w:rPr>
                <w:b/>
                <w:sz w:val="24"/>
                <w:szCs w:val="24"/>
              </w:rPr>
            </w:pPr>
            <w:r w:rsidRPr="00B67178">
              <w:rPr>
                <w:b/>
                <w:sz w:val="24"/>
                <w:szCs w:val="24"/>
              </w:rPr>
              <w:t>Consulenza, Diagnosi e presa in carico precoce</w:t>
            </w:r>
          </w:p>
          <w:p w:rsidR="00B67178" w:rsidRPr="00B67178" w:rsidRDefault="00B67178" w:rsidP="00B67178">
            <w:pPr>
              <w:pStyle w:val="Paragrafoelenco"/>
              <w:numPr>
                <w:ilvl w:val="0"/>
                <w:numId w:val="21"/>
              </w:numPr>
              <w:autoSpaceDE w:val="0"/>
              <w:autoSpaceDN w:val="0"/>
              <w:adjustRightInd w:val="0"/>
              <w:rPr>
                <w:sz w:val="24"/>
                <w:szCs w:val="24"/>
              </w:rPr>
            </w:pPr>
            <w:r w:rsidRPr="00B67178">
              <w:rPr>
                <w:sz w:val="24"/>
                <w:szCs w:val="24"/>
              </w:rPr>
              <w:t xml:space="preserve">Il servizio di Neuropsichiatria Infantile dedicato all’adolescenza, lavorando all’interno della scuola  attraverso figure professionali formate per la diagnosi precoce dei disturbi adolescenziali, provvederà, attraverso attività di consulenza ad una diagnosi ed ad una presa in carico precoce degli adolescenti che, sono spesso costretti ad itinerare invano insieme alle loro famiglie in cerca di una comprensione del loro disagio psichico. </w:t>
            </w:r>
          </w:p>
          <w:p w:rsidR="00B67178" w:rsidRPr="00B67178" w:rsidRDefault="00B67178" w:rsidP="00B67178">
            <w:pPr>
              <w:autoSpaceDE w:val="0"/>
              <w:autoSpaceDN w:val="0"/>
              <w:adjustRightInd w:val="0"/>
              <w:rPr>
                <w:b/>
                <w:sz w:val="24"/>
                <w:szCs w:val="24"/>
              </w:rPr>
            </w:pPr>
            <w:r w:rsidRPr="00B67178">
              <w:rPr>
                <w:b/>
                <w:sz w:val="24"/>
                <w:szCs w:val="24"/>
              </w:rPr>
              <w:t xml:space="preserve">Interventi di formazione/informazione per genitori </w:t>
            </w:r>
          </w:p>
          <w:p w:rsidR="00CF4934" w:rsidRPr="00B67178" w:rsidRDefault="00B67178" w:rsidP="00B67178">
            <w:pPr>
              <w:pStyle w:val="Paragrafoelenco"/>
              <w:numPr>
                <w:ilvl w:val="0"/>
                <w:numId w:val="21"/>
              </w:numPr>
              <w:rPr>
                <w:b/>
                <w:sz w:val="24"/>
                <w:szCs w:val="24"/>
              </w:rPr>
            </w:pPr>
            <w:r w:rsidRPr="00B67178">
              <w:rPr>
                <w:sz w:val="24"/>
                <w:szCs w:val="24"/>
              </w:rPr>
              <w:t>Si effettueranno incontri dedicati a genitori sull’adolescenza, per accrescere la cultura di questa complessa fase evolutiva e fornire strategie educative per valorizzare i giovani e comprendere meglio le loro difficoltà</w:t>
            </w:r>
          </w:p>
        </w:tc>
      </w:tr>
      <w:tr w:rsidR="000449DC" w:rsidRPr="000449DC" w:rsidTr="000449DC">
        <w:tc>
          <w:tcPr>
            <w:tcW w:w="9778" w:type="dxa"/>
            <w:shd w:val="clear" w:color="auto" w:fill="D9D9D9" w:themeFill="background1" w:themeFillShade="D9"/>
          </w:tcPr>
          <w:p w:rsidR="000449DC" w:rsidRPr="00273D08" w:rsidRDefault="000449DC" w:rsidP="000449DC">
            <w:pPr>
              <w:rPr>
                <w:b/>
                <w:sz w:val="28"/>
                <w:szCs w:val="28"/>
              </w:rPr>
            </w:pPr>
            <w:r w:rsidRPr="005D5C28">
              <w:rPr>
                <w:b/>
                <w:sz w:val="28"/>
                <w:szCs w:val="28"/>
              </w:rPr>
              <w:t>ANALISI DEI RISCHI</w:t>
            </w:r>
          </w:p>
        </w:tc>
      </w:tr>
      <w:tr w:rsidR="000449DC" w:rsidRPr="000449DC" w:rsidTr="008C382E">
        <w:trPr>
          <w:trHeight w:val="2486"/>
        </w:trPr>
        <w:tc>
          <w:tcPr>
            <w:tcW w:w="9778" w:type="dxa"/>
            <w:vAlign w:val="center"/>
          </w:tcPr>
          <w:p w:rsidR="005F22CF" w:rsidRPr="005F22CF" w:rsidRDefault="005F22CF" w:rsidP="00B854B3">
            <w:pPr>
              <w:autoSpaceDE w:val="0"/>
              <w:autoSpaceDN w:val="0"/>
              <w:adjustRightInd w:val="0"/>
              <w:ind w:firstLine="142"/>
            </w:pPr>
            <w:bookmarkStart w:id="0" w:name="_GoBack"/>
            <w:bookmarkEnd w:id="0"/>
            <w:r w:rsidRPr="005F22CF">
              <w:t xml:space="preserve">Gli elementi interni ed esterni che potrebbero ostacolare il raggiungimento dei valori attesi delle azioni e il </w:t>
            </w:r>
            <w:r w:rsidRPr="00C41044">
              <w:rPr>
                <w:sz w:val="24"/>
                <w:szCs w:val="24"/>
              </w:rPr>
              <w:t>raggiungimento</w:t>
            </w:r>
            <w:r w:rsidRPr="005F22CF">
              <w:t xml:space="preserve"> degli obiettivi specifici sono:</w:t>
            </w:r>
          </w:p>
          <w:p w:rsidR="005F22CF" w:rsidRPr="005F22CF" w:rsidRDefault="005F22CF" w:rsidP="00B854B3">
            <w:pPr>
              <w:ind w:left="709" w:hanging="142"/>
            </w:pPr>
            <w:r w:rsidRPr="005F22CF">
              <w:t>-</w:t>
            </w:r>
            <w:r w:rsidRPr="005F22CF">
              <w:tab/>
              <w:t>carenza di personale dedicato</w:t>
            </w:r>
          </w:p>
          <w:p w:rsidR="005F22CF" w:rsidRPr="005F22CF" w:rsidRDefault="005F22CF" w:rsidP="00B854B3">
            <w:pPr>
              <w:ind w:left="709" w:hanging="142"/>
            </w:pPr>
            <w:r w:rsidRPr="005F22CF">
              <w:t>-</w:t>
            </w:r>
            <w:r w:rsidRPr="005F22CF">
              <w:tab/>
              <w:t xml:space="preserve">numero di ore previste insufficienti  </w:t>
            </w:r>
          </w:p>
          <w:p w:rsidR="005F22CF" w:rsidRPr="005F22CF" w:rsidRDefault="005F22CF" w:rsidP="00B854B3">
            <w:pPr>
              <w:ind w:left="709" w:hanging="142"/>
            </w:pPr>
            <w:r w:rsidRPr="005F22CF">
              <w:t>-</w:t>
            </w:r>
            <w:r w:rsidRPr="005F22CF">
              <w:tab/>
              <w:t>scarsa disponibilità degli Istituti scolastici</w:t>
            </w:r>
          </w:p>
          <w:p w:rsidR="000449DC" w:rsidRPr="005F22CF" w:rsidRDefault="005F22CF" w:rsidP="00B854B3">
            <w:pPr>
              <w:ind w:left="709" w:hanging="142"/>
              <w:rPr>
                <w:sz w:val="28"/>
                <w:szCs w:val="28"/>
              </w:rPr>
            </w:pPr>
            <w:r w:rsidRPr="005F22CF">
              <w:t>-</w:t>
            </w:r>
            <w:r w:rsidRPr="005F22CF">
              <w:tab/>
              <w:t>bassa partecipazione di insegnanti e famiglie agli eventi formativi</w:t>
            </w:r>
            <w:r w:rsidR="0071552A" w:rsidRPr="005F22CF">
              <w:t>.</w:t>
            </w:r>
          </w:p>
        </w:tc>
      </w:tr>
    </w:tbl>
    <w:p w:rsidR="008C382E" w:rsidRDefault="008C382E"/>
    <w:p w:rsidR="008C382E" w:rsidRDefault="008C382E">
      <w:pPr>
        <w:sectPr w:rsidR="008C382E" w:rsidSect="008425C7">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pgNumType w:start="49"/>
          <w:cols w:space="708"/>
          <w:docGrid w:linePitch="360"/>
        </w:sectPr>
      </w:pPr>
    </w:p>
    <w:tbl>
      <w:tblPr>
        <w:tblStyle w:val="Grigliatabella"/>
        <w:tblW w:w="0" w:type="auto"/>
        <w:tblLook w:val="04A0"/>
      </w:tblPr>
      <w:tblGrid>
        <w:gridCol w:w="13858"/>
      </w:tblGrid>
      <w:tr w:rsidR="00C81878" w:rsidRPr="000449DC" w:rsidTr="00C81878">
        <w:tc>
          <w:tcPr>
            <w:tcW w:w="13858" w:type="dxa"/>
            <w:shd w:val="clear" w:color="auto" w:fill="D9D9D9" w:themeFill="background1" w:themeFillShade="D9"/>
          </w:tcPr>
          <w:p w:rsidR="00C81878" w:rsidRPr="00273D08" w:rsidRDefault="00C81878" w:rsidP="00C81878">
            <w:pPr>
              <w:jc w:val="center"/>
              <w:rPr>
                <w:b/>
                <w:sz w:val="28"/>
                <w:szCs w:val="28"/>
              </w:rPr>
            </w:pPr>
            <w:r>
              <w:rPr>
                <w:b/>
                <w:sz w:val="28"/>
                <w:szCs w:val="28"/>
              </w:rPr>
              <w:lastRenderedPageBreak/>
              <w:t>CRONOPROGRAMMA DELL’AZIONE</w:t>
            </w:r>
          </w:p>
        </w:tc>
      </w:tr>
    </w:tbl>
    <w:p w:rsidR="008C382E" w:rsidRDefault="008C382E" w:rsidP="00C81878">
      <w:pPr>
        <w:jc w:val="center"/>
      </w:pPr>
    </w:p>
    <w:p w:rsidR="008C382E" w:rsidRDefault="008C382E">
      <w:r w:rsidRPr="008C382E">
        <w:rPr>
          <w:noProof/>
          <w:lang w:eastAsia="it-IT"/>
        </w:rPr>
        <w:drawing>
          <wp:inline distT="0" distB="0" distL="0" distR="0">
            <wp:extent cx="8241030" cy="3136900"/>
            <wp:effectExtent l="19050" t="0" r="762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8241030" cy="3136900"/>
                    </a:xfrm>
                    <a:prstGeom prst="rect">
                      <a:avLst/>
                    </a:prstGeom>
                    <a:noFill/>
                    <a:ln w="9525">
                      <a:noFill/>
                      <a:miter lim="800000"/>
                      <a:headEnd/>
                      <a:tailEnd/>
                    </a:ln>
                  </pic:spPr>
                </pic:pic>
              </a:graphicData>
            </a:graphic>
          </wp:inline>
        </w:drawing>
      </w:r>
    </w:p>
    <w:p w:rsidR="008C382E" w:rsidRDefault="008C382E"/>
    <w:p w:rsidR="008C382E" w:rsidRDefault="008C382E">
      <w:pPr>
        <w:sectPr w:rsidR="008C382E" w:rsidSect="008C382E">
          <w:pgSz w:w="16838" w:h="11906" w:orient="landscape"/>
          <w:pgMar w:top="1134" w:right="1417" w:bottom="1134" w:left="1134" w:header="708" w:footer="708" w:gutter="0"/>
          <w:cols w:space="708"/>
          <w:docGrid w:linePitch="360"/>
        </w:sectPr>
      </w:pPr>
    </w:p>
    <w:p w:rsidR="00960719" w:rsidRPr="000449DC" w:rsidRDefault="00960719"/>
    <w:sectPr w:rsidR="00960719" w:rsidRPr="000449DC" w:rsidSect="0074101B">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3B5" w:rsidRDefault="000913B5" w:rsidP="008425C7">
      <w:pPr>
        <w:spacing w:after="0" w:line="240" w:lineRule="auto"/>
      </w:pPr>
      <w:r>
        <w:separator/>
      </w:r>
    </w:p>
  </w:endnote>
  <w:endnote w:type="continuationSeparator" w:id="0">
    <w:p w:rsidR="000913B5" w:rsidRDefault="000913B5" w:rsidP="00842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tencil">
    <w:panose1 w:val="040409050D0802020404"/>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5C7" w:rsidRDefault="008425C7">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13700"/>
      <w:docPartObj>
        <w:docPartGallery w:val="Page Numbers (Bottom of Page)"/>
        <w:docPartUnique/>
      </w:docPartObj>
    </w:sdtPr>
    <w:sdtContent>
      <w:p w:rsidR="008425C7" w:rsidRDefault="008425C7">
        <w:pPr>
          <w:pStyle w:val="Pidipagina"/>
          <w:jc w:val="right"/>
        </w:pPr>
        <w:fldSimple w:instr=" PAGE   \* MERGEFORMAT ">
          <w:r>
            <w:rPr>
              <w:noProof/>
            </w:rPr>
            <w:t>49</w:t>
          </w:r>
        </w:fldSimple>
      </w:p>
    </w:sdtContent>
  </w:sdt>
  <w:p w:rsidR="008425C7" w:rsidRDefault="008425C7">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5C7" w:rsidRDefault="008425C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3B5" w:rsidRDefault="000913B5" w:rsidP="008425C7">
      <w:pPr>
        <w:spacing w:after="0" w:line="240" w:lineRule="auto"/>
      </w:pPr>
      <w:r>
        <w:separator/>
      </w:r>
    </w:p>
  </w:footnote>
  <w:footnote w:type="continuationSeparator" w:id="0">
    <w:p w:rsidR="000913B5" w:rsidRDefault="000913B5" w:rsidP="008425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5C7" w:rsidRDefault="008425C7">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5C7" w:rsidRDefault="008425C7">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5C7" w:rsidRDefault="008425C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0802"/>
    <w:multiLevelType w:val="hybridMultilevel"/>
    <w:tmpl w:val="26944540"/>
    <w:lvl w:ilvl="0" w:tplc="FC2CAA5C">
      <w:start w:val="1"/>
      <w:numFmt w:val="bullet"/>
      <w:lvlText w:val="_"/>
      <w:lvlJc w:val="left"/>
      <w:pPr>
        <w:ind w:left="720" w:hanging="360"/>
      </w:pPr>
      <w:rPr>
        <w:rFonts w:ascii="Stencil" w:hAnsi="Stencil" w:hint="default"/>
      </w:rPr>
    </w:lvl>
    <w:lvl w:ilvl="1" w:tplc="137CE008">
      <w:numFmt w:val="bullet"/>
      <w:lvlText w:val="•"/>
      <w:lvlJc w:val="left"/>
      <w:pPr>
        <w:ind w:left="1785" w:hanging="705"/>
      </w:pPr>
      <w:rPr>
        <w:rFonts w:ascii="Calibri" w:eastAsiaTheme="minorHAnsi"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00006C"/>
    <w:multiLevelType w:val="hybridMultilevel"/>
    <w:tmpl w:val="D9A066C6"/>
    <w:lvl w:ilvl="0" w:tplc="4EDE0944">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596547C"/>
    <w:multiLevelType w:val="hybridMultilevel"/>
    <w:tmpl w:val="A8426878"/>
    <w:lvl w:ilvl="0" w:tplc="FC2CAA5C">
      <w:start w:val="1"/>
      <w:numFmt w:val="bullet"/>
      <w:lvlText w:val="_"/>
      <w:lvlJc w:val="left"/>
      <w:pPr>
        <w:ind w:left="720" w:hanging="360"/>
      </w:pPr>
      <w:rPr>
        <w:rFonts w:ascii="Stencil" w:hAnsi="Stenci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BCF6271"/>
    <w:multiLevelType w:val="hybridMultilevel"/>
    <w:tmpl w:val="8F624D4A"/>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CCB2897"/>
    <w:multiLevelType w:val="hybridMultilevel"/>
    <w:tmpl w:val="A5AE8222"/>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FD2A93"/>
    <w:multiLevelType w:val="hybridMultilevel"/>
    <w:tmpl w:val="E31C2BA0"/>
    <w:lvl w:ilvl="0" w:tplc="FC2CAA5C">
      <w:start w:val="1"/>
      <w:numFmt w:val="bullet"/>
      <w:lvlText w:val="_"/>
      <w:lvlJc w:val="left"/>
      <w:pPr>
        <w:ind w:left="720" w:hanging="360"/>
      </w:pPr>
      <w:rPr>
        <w:rFonts w:ascii="Stencil" w:hAnsi="Stenci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3B01E39"/>
    <w:multiLevelType w:val="hybridMultilevel"/>
    <w:tmpl w:val="6D1AE9B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A5209FC"/>
    <w:multiLevelType w:val="hybridMultilevel"/>
    <w:tmpl w:val="F220572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8">
    <w:nsid w:val="42EC0D8D"/>
    <w:multiLevelType w:val="hybridMultilevel"/>
    <w:tmpl w:val="0DD89472"/>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401110B"/>
    <w:multiLevelType w:val="hybridMultilevel"/>
    <w:tmpl w:val="F99A1DBA"/>
    <w:lvl w:ilvl="0" w:tplc="FC2CAA5C">
      <w:start w:val="1"/>
      <w:numFmt w:val="bullet"/>
      <w:lvlText w:val="_"/>
      <w:lvlJc w:val="left"/>
      <w:pPr>
        <w:ind w:left="720" w:hanging="360"/>
      </w:pPr>
      <w:rPr>
        <w:rFonts w:ascii="Stencil" w:hAnsi="Stenci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5FB0144"/>
    <w:multiLevelType w:val="hybridMultilevel"/>
    <w:tmpl w:val="0DAE4632"/>
    <w:lvl w:ilvl="0" w:tplc="EED6241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8A817FE"/>
    <w:multiLevelType w:val="hybridMultilevel"/>
    <w:tmpl w:val="4D4CB27E"/>
    <w:lvl w:ilvl="0" w:tplc="955EA2BA">
      <w:numFmt w:val="bullet"/>
      <w:lvlText w:val="-"/>
      <w:lvlJc w:val="left"/>
      <w:pPr>
        <w:tabs>
          <w:tab w:val="num" w:pos="720"/>
        </w:tabs>
        <w:ind w:left="720" w:hanging="360"/>
      </w:pPr>
      <w:rPr>
        <w:rFonts w:ascii="Comic Sans MS" w:eastAsia="Calibri" w:hAnsi="Comic Sans MS" w:cs="Times New Roman" w:hint="default"/>
      </w:rPr>
    </w:lvl>
    <w:lvl w:ilvl="1" w:tplc="DD604E5A" w:tentative="1">
      <w:start w:val="1"/>
      <w:numFmt w:val="bullet"/>
      <w:lvlText w:val=""/>
      <w:lvlJc w:val="left"/>
      <w:pPr>
        <w:tabs>
          <w:tab w:val="num" w:pos="1440"/>
        </w:tabs>
        <w:ind w:left="1440" w:hanging="360"/>
      </w:pPr>
      <w:rPr>
        <w:rFonts w:ascii="Wingdings" w:hAnsi="Wingdings" w:hint="default"/>
      </w:rPr>
    </w:lvl>
    <w:lvl w:ilvl="2" w:tplc="2B5844AA" w:tentative="1">
      <w:start w:val="1"/>
      <w:numFmt w:val="bullet"/>
      <w:lvlText w:val=""/>
      <w:lvlJc w:val="left"/>
      <w:pPr>
        <w:tabs>
          <w:tab w:val="num" w:pos="2160"/>
        </w:tabs>
        <w:ind w:left="2160" w:hanging="360"/>
      </w:pPr>
      <w:rPr>
        <w:rFonts w:ascii="Wingdings" w:hAnsi="Wingdings" w:hint="default"/>
      </w:rPr>
    </w:lvl>
    <w:lvl w:ilvl="3" w:tplc="7D4061AE" w:tentative="1">
      <w:start w:val="1"/>
      <w:numFmt w:val="bullet"/>
      <w:lvlText w:val=""/>
      <w:lvlJc w:val="left"/>
      <w:pPr>
        <w:tabs>
          <w:tab w:val="num" w:pos="2880"/>
        </w:tabs>
        <w:ind w:left="2880" w:hanging="360"/>
      </w:pPr>
      <w:rPr>
        <w:rFonts w:ascii="Wingdings" w:hAnsi="Wingdings" w:hint="default"/>
      </w:rPr>
    </w:lvl>
    <w:lvl w:ilvl="4" w:tplc="A5402B6E" w:tentative="1">
      <w:start w:val="1"/>
      <w:numFmt w:val="bullet"/>
      <w:lvlText w:val=""/>
      <w:lvlJc w:val="left"/>
      <w:pPr>
        <w:tabs>
          <w:tab w:val="num" w:pos="3600"/>
        </w:tabs>
        <w:ind w:left="3600" w:hanging="360"/>
      </w:pPr>
      <w:rPr>
        <w:rFonts w:ascii="Wingdings" w:hAnsi="Wingdings" w:hint="default"/>
      </w:rPr>
    </w:lvl>
    <w:lvl w:ilvl="5" w:tplc="61C2AD22" w:tentative="1">
      <w:start w:val="1"/>
      <w:numFmt w:val="bullet"/>
      <w:lvlText w:val=""/>
      <w:lvlJc w:val="left"/>
      <w:pPr>
        <w:tabs>
          <w:tab w:val="num" w:pos="4320"/>
        </w:tabs>
        <w:ind w:left="4320" w:hanging="360"/>
      </w:pPr>
      <w:rPr>
        <w:rFonts w:ascii="Wingdings" w:hAnsi="Wingdings" w:hint="default"/>
      </w:rPr>
    </w:lvl>
    <w:lvl w:ilvl="6" w:tplc="75C8D6FE" w:tentative="1">
      <w:start w:val="1"/>
      <w:numFmt w:val="bullet"/>
      <w:lvlText w:val=""/>
      <w:lvlJc w:val="left"/>
      <w:pPr>
        <w:tabs>
          <w:tab w:val="num" w:pos="5040"/>
        </w:tabs>
        <w:ind w:left="5040" w:hanging="360"/>
      </w:pPr>
      <w:rPr>
        <w:rFonts w:ascii="Wingdings" w:hAnsi="Wingdings" w:hint="default"/>
      </w:rPr>
    </w:lvl>
    <w:lvl w:ilvl="7" w:tplc="6FDCEA3A" w:tentative="1">
      <w:start w:val="1"/>
      <w:numFmt w:val="bullet"/>
      <w:lvlText w:val=""/>
      <w:lvlJc w:val="left"/>
      <w:pPr>
        <w:tabs>
          <w:tab w:val="num" w:pos="5760"/>
        </w:tabs>
        <w:ind w:left="5760" w:hanging="360"/>
      </w:pPr>
      <w:rPr>
        <w:rFonts w:ascii="Wingdings" w:hAnsi="Wingdings" w:hint="default"/>
      </w:rPr>
    </w:lvl>
    <w:lvl w:ilvl="8" w:tplc="494A1AB0" w:tentative="1">
      <w:start w:val="1"/>
      <w:numFmt w:val="bullet"/>
      <w:lvlText w:val=""/>
      <w:lvlJc w:val="left"/>
      <w:pPr>
        <w:tabs>
          <w:tab w:val="num" w:pos="6480"/>
        </w:tabs>
        <w:ind w:left="6480" w:hanging="360"/>
      </w:pPr>
      <w:rPr>
        <w:rFonts w:ascii="Wingdings" w:hAnsi="Wingdings" w:hint="default"/>
      </w:rPr>
    </w:lvl>
  </w:abstractNum>
  <w:abstractNum w:abstractNumId="12">
    <w:nsid w:val="4DF15ECA"/>
    <w:multiLevelType w:val="hybridMultilevel"/>
    <w:tmpl w:val="168EBB56"/>
    <w:lvl w:ilvl="0" w:tplc="213EB7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2D8674F"/>
    <w:multiLevelType w:val="hybridMultilevel"/>
    <w:tmpl w:val="00AC01C8"/>
    <w:lvl w:ilvl="0" w:tplc="CEB8098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DFA07C1"/>
    <w:multiLevelType w:val="hybridMultilevel"/>
    <w:tmpl w:val="2A6CE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2B61E81"/>
    <w:multiLevelType w:val="hybridMultilevel"/>
    <w:tmpl w:val="69009A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3E33888"/>
    <w:multiLevelType w:val="hybridMultilevel"/>
    <w:tmpl w:val="D6204640"/>
    <w:lvl w:ilvl="0" w:tplc="CEB80988">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nsid w:val="72014FF5"/>
    <w:multiLevelType w:val="hybridMultilevel"/>
    <w:tmpl w:val="60AAB4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2186135"/>
    <w:multiLevelType w:val="hybridMultilevel"/>
    <w:tmpl w:val="B7629E5C"/>
    <w:lvl w:ilvl="0" w:tplc="AF5C0F3C">
      <w:numFmt w:val="bullet"/>
      <w:lvlText w:val="•"/>
      <w:lvlJc w:val="left"/>
      <w:pPr>
        <w:ind w:left="1065" w:hanging="705"/>
      </w:pPr>
      <w:rPr>
        <w:rFonts w:ascii="Calibri" w:eastAsiaTheme="minorHAnsi" w:hAnsi="Calibri" w:cstheme="minorBid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BA83B69"/>
    <w:multiLevelType w:val="hybridMultilevel"/>
    <w:tmpl w:val="DE7843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nsid w:val="7F3A38C5"/>
    <w:multiLevelType w:val="hybridMultilevel"/>
    <w:tmpl w:val="419EC4B6"/>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7"/>
  </w:num>
  <w:num w:numId="4">
    <w:abstractNumId w:val="12"/>
  </w:num>
  <w:num w:numId="5">
    <w:abstractNumId w:val="11"/>
  </w:num>
  <w:num w:numId="6">
    <w:abstractNumId w:val="13"/>
  </w:num>
  <w:num w:numId="7">
    <w:abstractNumId w:val="15"/>
  </w:num>
  <w:num w:numId="8">
    <w:abstractNumId w:val="4"/>
  </w:num>
  <w:num w:numId="9">
    <w:abstractNumId w:val="3"/>
  </w:num>
  <w:num w:numId="10">
    <w:abstractNumId w:val="10"/>
  </w:num>
  <w:num w:numId="11">
    <w:abstractNumId w:val="19"/>
  </w:num>
  <w:num w:numId="12">
    <w:abstractNumId w:val="6"/>
  </w:num>
  <w:num w:numId="13">
    <w:abstractNumId w:val="20"/>
  </w:num>
  <w:num w:numId="14">
    <w:abstractNumId w:val="8"/>
  </w:num>
  <w:num w:numId="15">
    <w:abstractNumId w:val="16"/>
  </w:num>
  <w:num w:numId="16">
    <w:abstractNumId w:val="2"/>
  </w:num>
  <w:num w:numId="17">
    <w:abstractNumId w:val="14"/>
  </w:num>
  <w:num w:numId="18">
    <w:abstractNumId w:val="9"/>
  </w:num>
  <w:num w:numId="19">
    <w:abstractNumId w:val="5"/>
  </w:num>
  <w:num w:numId="20">
    <w:abstractNumId w:val="18"/>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0449DC"/>
    <w:rsid w:val="000449DC"/>
    <w:rsid w:val="000762F2"/>
    <w:rsid w:val="000913B5"/>
    <w:rsid w:val="00160152"/>
    <w:rsid w:val="00240452"/>
    <w:rsid w:val="0024457A"/>
    <w:rsid w:val="003867DF"/>
    <w:rsid w:val="0039237B"/>
    <w:rsid w:val="003D2037"/>
    <w:rsid w:val="004078D6"/>
    <w:rsid w:val="004B5AFB"/>
    <w:rsid w:val="005C779C"/>
    <w:rsid w:val="005F22CF"/>
    <w:rsid w:val="006E2488"/>
    <w:rsid w:val="0071552A"/>
    <w:rsid w:val="0074101B"/>
    <w:rsid w:val="008156EE"/>
    <w:rsid w:val="00827381"/>
    <w:rsid w:val="00833BCD"/>
    <w:rsid w:val="008425C7"/>
    <w:rsid w:val="008967C1"/>
    <w:rsid w:val="008B69CA"/>
    <w:rsid w:val="008C382E"/>
    <w:rsid w:val="009035FE"/>
    <w:rsid w:val="00960719"/>
    <w:rsid w:val="009C7694"/>
    <w:rsid w:val="00AD47BB"/>
    <w:rsid w:val="00AD7A59"/>
    <w:rsid w:val="00B67178"/>
    <w:rsid w:val="00B854B3"/>
    <w:rsid w:val="00C41044"/>
    <w:rsid w:val="00C81878"/>
    <w:rsid w:val="00CE4DE0"/>
    <w:rsid w:val="00CE7CCD"/>
    <w:rsid w:val="00CF4934"/>
    <w:rsid w:val="00D1652F"/>
    <w:rsid w:val="00DC3842"/>
    <w:rsid w:val="00EB5A1F"/>
    <w:rsid w:val="00F321A3"/>
    <w:rsid w:val="00F76A7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101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449DC"/>
    <w:pPr>
      <w:ind w:left="720"/>
      <w:contextualSpacing/>
      <w:jc w:val="both"/>
    </w:pPr>
  </w:style>
  <w:style w:type="paragraph" w:styleId="NormaleWeb">
    <w:name w:val="Normal (Web)"/>
    <w:basedOn w:val="Normale"/>
    <w:uiPriority w:val="99"/>
    <w:semiHidden/>
    <w:unhideWhenUsed/>
    <w:rsid w:val="00CF49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CF4934"/>
  </w:style>
  <w:style w:type="paragraph" w:customStyle="1" w:styleId="Default">
    <w:name w:val="Default"/>
    <w:rsid w:val="008967C1"/>
    <w:pPr>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styleId="Testofumetto">
    <w:name w:val="Balloon Text"/>
    <w:basedOn w:val="Normale"/>
    <w:link w:val="TestofumettoCarattere"/>
    <w:uiPriority w:val="99"/>
    <w:semiHidden/>
    <w:unhideWhenUsed/>
    <w:rsid w:val="008C38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382E"/>
    <w:rPr>
      <w:rFonts w:ascii="Tahoma" w:hAnsi="Tahoma" w:cs="Tahoma"/>
      <w:sz w:val="16"/>
      <w:szCs w:val="16"/>
    </w:rPr>
  </w:style>
  <w:style w:type="paragraph" w:styleId="Intestazione">
    <w:name w:val="header"/>
    <w:basedOn w:val="Normale"/>
    <w:link w:val="IntestazioneCarattere"/>
    <w:uiPriority w:val="99"/>
    <w:semiHidden/>
    <w:unhideWhenUsed/>
    <w:rsid w:val="008425C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425C7"/>
  </w:style>
  <w:style w:type="paragraph" w:styleId="Pidipagina">
    <w:name w:val="footer"/>
    <w:basedOn w:val="Normale"/>
    <w:link w:val="PidipaginaCarattere"/>
    <w:uiPriority w:val="99"/>
    <w:unhideWhenUsed/>
    <w:rsid w:val="008425C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25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449DC"/>
    <w:pPr>
      <w:ind w:left="720"/>
      <w:contextualSpacing/>
      <w:jc w:val="both"/>
    </w:pPr>
  </w:style>
  <w:style w:type="paragraph" w:styleId="NormaleWeb">
    <w:name w:val="Normal (Web)"/>
    <w:basedOn w:val="Normale"/>
    <w:uiPriority w:val="99"/>
    <w:semiHidden/>
    <w:unhideWhenUsed/>
    <w:rsid w:val="00CF49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CF4934"/>
  </w:style>
</w:styles>
</file>

<file path=word/webSettings.xml><?xml version="1.0" encoding="utf-8"?>
<w:webSettings xmlns:r="http://schemas.openxmlformats.org/officeDocument/2006/relationships" xmlns:w="http://schemas.openxmlformats.org/wordprocessingml/2006/main">
  <w:divs>
    <w:div w:id="28169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1537</Words>
  <Characters>8767</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maria</cp:lastModifiedBy>
  <cp:revision>14</cp:revision>
  <dcterms:created xsi:type="dcterms:W3CDTF">2015-05-18T11:43:00Z</dcterms:created>
  <dcterms:modified xsi:type="dcterms:W3CDTF">2015-05-19T14:43:00Z</dcterms:modified>
</cp:coreProperties>
</file>