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3E" w:rsidRDefault="0098553E" w:rsidP="0098553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2</w:t>
      </w:r>
      <w:r w:rsidRPr="00E967B8">
        <w:rPr>
          <w:b/>
          <w:sz w:val="28"/>
          <w:szCs w:val="28"/>
        </w:rPr>
        <w:t xml:space="preserve"> “A scuola … di salute”</w:t>
      </w:r>
    </w:p>
    <w:p w:rsidR="0098553E" w:rsidRDefault="0098553E" w:rsidP="0098553E">
      <w:pPr>
        <w:spacing w:after="0" w:line="240" w:lineRule="auto"/>
        <w:jc w:val="center"/>
        <w:rPr>
          <w:b/>
          <w:sz w:val="36"/>
          <w:szCs w:val="28"/>
        </w:rPr>
      </w:pPr>
      <w:r w:rsidRPr="00EF73E9">
        <w:rPr>
          <w:b/>
          <w:sz w:val="36"/>
          <w:szCs w:val="28"/>
        </w:rPr>
        <w:t>Azione n.</w:t>
      </w:r>
      <w:r>
        <w:rPr>
          <w:b/>
          <w:sz w:val="36"/>
          <w:szCs w:val="28"/>
        </w:rPr>
        <w:t>4</w:t>
      </w:r>
    </w:p>
    <w:p w:rsidR="00EF653B" w:rsidRDefault="0098553E" w:rsidP="00EF653B">
      <w:pPr>
        <w:pStyle w:val="Default"/>
        <w:spacing w:after="240"/>
        <w:jc w:val="center"/>
        <w:rPr>
          <w:b/>
          <w:sz w:val="28"/>
        </w:rPr>
      </w:pPr>
      <w:r w:rsidRPr="0098553E">
        <w:rPr>
          <w:b/>
          <w:sz w:val="28"/>
          <w:szCs w:val="28"/>
        </w:rPr>
        <w:t>SANA ALIMENTAZIONE PER UNA SCUOLA IN SALUTE</w:t>
      </w:r>
    </w:p>
    <w:tbl>
      <w:tblPr>
        <w:tblStyle w:val="Grigliatabella"/>
        <w:tblW w:w="0" w:type="auto"/>
        <w:tblLook w:val="04A0"/>
      </w:tblPr>
      <w:tblGrid>
        <w:gridCol w:w="9854"/>
      </w:tblGrid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24457A" w:rsidRDefault="000449DC" w:rsidP="0098553E">
            <w:pPr>
              <w:rPr>
                <w:lang w:val="en-US"/>
              </w:rPr>
            </w:pPr>
            <w:r w:rsidRPr="0024457A">
              <w:rPr>
                <w:b/>
                <w:sz w:val="28"/>
                <w:szCs w:val="28"/>
              </w:rPr>
              <w:t>BREVE DESCRIZIONE</w:t>
            </w:r>
          </w:p>
        </w:tc>
      </w:tr>
      <w:tr w:rsidR="000449DC" w:rsidRPr="005C779C" w:rsidTr="0098553E">
        <w:trPr>
          <w:trHeight w:val="8060"/>
        </w:trPr>
        <w:tc>
          <w:tcPr>
            <w:tcW w:w="9854" w:type="dxa"/>
            <w:vAlign w:val="center"/>
          </w:tcPr>
          <w:p w:rsidR="00EF653B" w:rsidRPr="003B4A5D" w:rsidRDefault="00EF653B" w:rsidP="0098553E">
            <w:pPr>
              <w:pStyle w:val="Default"/>
              <w:ind w:right="140" w:firstLine="142"/>
              <w:jc w:val="both"/>
              <w:rPr>
                <w:sz w:val="22"/>
              </w:rPr>
            </w:pPr>
            <w:r w:rsidRPr="003B4A5D">
              <w:rPr>
                <w:sz w:val="22"/>
              </w:rPr>
              <w:t xml:space="preserve">Le malattie cronico-degenerative hanno in comune alcuni fattori di rischio legati, in gran parte, a comportamenti individuali non salutari, modificabili ma fortemente condizionati dal contesto economico, sociale e ambientale in cui si vive e si lavora, come ad esempio i comportamenti alimentari scorretti. Le abitudini alimentari non corrette si instaurano spesso già durante l’infanzia o l’adolescenza e possono contribuire all’eccesso ponderale. </w:t>
            </w:r>
          </w:p>
          <w:p w:rsidR="00EF653B" w:rsidRPr="003B4A5D" w:rsidRDefault="00EF653B" w:rsidP="0098553E">
            <w:pPr>
              <w:pStyle w:val="Default"/>
              <w:ind w:right="140" w:firstLine="142"/>
              <w:jc w:val="both"/>
              <w:rPr>
                <w:sz w:val="22"/>
              </w:rPr>
            </w:pPr>
            <w:r w:rsidRPr="003B4A5D">
              <w:rPr>
                <w:sz w:val="22"/>
              </w:rPr>
              <w:t>L’obesità e il sovrappeso in età infantile sono fenomeni in costante aumento a livello mondiale ed hanno implicazioni dirette sulla salute del bambino e rappresentano un fattore di rischio per lo sviluppo di gravi patologie in età adulta.</w:t>
            </w:r>
          </w:p>
          <w:p w:rsidR="00EF653B" w:rsidRDefault="00EF653B" w:rsidP="0098553E">
            <w:pPr>
              <w:pStyle w:val="Default"/>
              <w:ind w:right="140" w:firstLine="142"/>
              <w:jc w:val="both"/>
              <w:rPr>
                <w:sz w:val="22"/>
              </w:rPr>
            </w:pPr>
            <w:r w:rsidRPr="003B4A5D">
              <w:rPr>
                <w:sz w:val="22"/>
              </w:rPr>
              <w:t xml:space="preserve">In Abruzzo dalla recente rilevazione Okkio alla Salute 2014 risulta che i bambini abruzzesi di 8-9 anni sono in sovrappeso per il 27,2%, obesi per il 9,2%, mentre i bambini severamente obesi sono il 2,2%. Dalla rilevazione si osserva la persistenza tra i bambini di abitudini alimentari scorrette: il 6,9% dei bambini salta la prima colazione e il 32% fa una colazione non adeguata (ossia sbilanciata in termini di carboidrati e proteine); il 66,8% fa una merenda di metà mattina non adeguata, mentre i genitori dichiarano che solo il 5,3% dei propri figli consumano le 5 porzioni frutta e/o verdura giornaliere raccomandate e il 37,6% dichiara che i propri figli consumano bevande zuccherate e/o gassate almeno una volta al giorno. </w:t>
            </w:r>
          </w:p>
          <w:p w:rsidR="00EF653B" w:rsidRDefault="00EF653B" w:rsidP="0098553E">
            <w:pPr>
              <w:pStyle w:val="Default"/>
              <w:ind w:right="140" w:firstLine="142"/>
              <w:jc w:val="both"/>
              <w:rPr>
                <w:sz w:val="22"/>
              </w:rPr>
            </w:pPr>
            <w:r>
              <w:rPr>
                <w:sz w:val="22"/>
              </w:rPr>
              <w:t>Risulta dunque fondamentale agire nell’ambito del</w:t>
            </w:r>
            <w:r w:rsidR="00DD752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contesto scolastico su bambini e adolescenti, per prevenire comportamenti alimentari scorretti che possano instaurarsi e persistere anche nell’età adulta, favorendo l’adozione di abitudini alimentari salutari. </w:t>
            </w:r>
          </w:p>
          <w:p w:rsidR="00EF653B" w:rsidRDefault="00C7010C" w:rsidP="0098553E">
            <w:pPr>
              <w:pStyle w:val="Default"/>
              <w:ind w:right="140" w:firstLine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 precedente PRP 2010 – 2012</w:t>
            </w:r>
            <w:r w:rsidR="00EF653B">
              <w:rPr>
                <w:sz w:val="22"/>
                <w:szCs w:val="22"/>
              </w:rPr>
              <w:t>, proroghe 2013 e 2014  sono state progettate ed attuate interventi con insegn</w:t>
            </w:r>
            <w:r>
              <w:rPr>
                <w:sz w:val="22"/>
                <w:szCs w:val="22"/>
              </w:rPr>
              <w:t xml:space="preserve">anti, </w:t>
            </w:r>
            <w:r w:rsidR="00EF653B">
              <w:rPr>
                <w:sz w:val="22"/>
                <w:szCs w:val="22"/>
              </w:rPr>
              <w:t>alunni e genitori delle classi aderenti,  predisposti menù per gli asili nido</w:t>
            </w:r>
            <w:r>
              <w:rPr>
                <w:sz w:val="22"/>
                <w:szCs w:val="22"/>
              </w:rPr>
              <w:t xml:space="preserve"> e scuola dell’infanzia </w:t>
            </w:r>
            <w:r w:rsidR="00EF653B">
              <w:rPr>
                <w:sz w:val="22"/>
                <w:szCs w:val="22"/>
              </w:rPr>
              <w:t>ed attuati incontri con gli operatori food delle mense scolastiche( progetto Comportamenti alimentari) .</w:t>
            </w:r>
          </w:p>
          <w:p w:rsidR="00EF653B" w:rsidRDefault="00EF653B" w:rsidP="0098553E">
            <w:pPr>
              <w:pStyle w:val="Default"/>
              <w:ind w:right="140" w:firstLine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 è stata attuata una raccolta sistematica delle attività eseguite, ma è emersa la criticità della scarsa partecipazione dei genitori.</w:t>
            </w:r>
          </w:p>
          <w:p w:rsidR="00EF653B" w:rsidRPr="00B758B2" w:rsidRDefault="00EF653B" w:rsidP="0098553E">
            <w:pPr>
              <w:pStyle w:val="Default"/>
              <w:ind w:right="140" w:firstLine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 s</w:t>
            </w:r>
            <w:r w:rsidRPr="00B758B2">
              <w:rPr>
                <w:sz w:val="22"/>
                <w:szCs w:val="22"/>
              </w:rPr>
              <w:t xml:space="preserve">viluppo di </w:t>
            </w:r>
            <w:r>
              <w:rPr>
                <w:sz w:val="22"/>
                <w:szCs w:val="22"/>
              </w:rPr>
              <w:t>azioni</w:t>
            </w:r>
            <w:r w:rsidRPr="00B758B2">
              <w:rPr>
                <w:sz w:val="22"/>
                <w:szCs w:val="22"/>
              </w:rPr>
              <w:t xml:space="preserve"> di promozione </w:t>
            </w:r>
            <w:r>
              <w:rPr>
                <w:sz w:val="22"/>
                <w:szCs w:val="22"/>
              </w:rPr>
              <w:t>della sana alimentazione nel contesto scolastico s’inserisce nel macrobiettivo 2.1 del PNP 2014-2018 “</w:t>
            </w:r>
            <w:r w:rsidRPr="00B758B2">
              <w:rPr>
                <w:sz w:val="22"/>
                <w:szCs w:val="22"/>
              </w:rPr>
              <w:t>Ridurre il carico prevenibile ed evitabile di morbosità, mortalità e disabilità delle malattie non trasmissibili</w:t>
            </w:r>
            <w:r>
              <w:rPr>
                <w:sz w:val="22"/>
                <w:szCs w:val="22"/>
              </w:rPr>
              <w:t>” attraverso gli obiettivi centrali</w:t>
            </w:r>
            <w:r w:rsidRPr="00B758B2">
              <w:rPr>
                <w:sz w:val="22"/>
                <w:szCs w:val="22"/>
              </w:rPr>
              <w:t xml:space="preserve">: </w:t>
            </w:r>
          </w:p>
          <w:p w:rsidR="00EF653B" w:rsidRDefault="00EF653B" w:rsidP="0098553E">
            <w:pPr>
              <w:pStyle w:val="Default"/>
              <w:ind w:right="140" w:firstLine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758B2">
              <w:rPr>
                <w:sz w:val="22"/>
                <w:szCs w:val="22"/>
              </w:rPr>
              <w:t xml:space="preserve">Promuovere il potenziamento dei fattori di protezione (life skill, empowerment) e l’adozione di comportamenti sani (alimentazione, attività fisica, fumo e alcol) nella popolazione giovanile </w:t>
            </w:r>
            <w:r>
              <w:rPr>
                <w:sz w:val="22"/>
                <w:szCs w:val="22"/>
              </w:rPr>
              <w:t>(1.3)</w:t>
            </w:r>
          </w:p>
          <w:p w:rsidR="000449DC" w:rsidRPr="0024457A" w:rsidRDefault="00EF653B" w:rsidP="0098553E">
            <w:pPr>
              <w:pStyle w:val="Default"/>
              <w:ind w:right="140" w:firstLine="142"/>
              <w:jc w:val="both"/>
            </w:pPr>
            <w:r>
              <w:rPr>
                <w:sz w:val="22"/>
                <w:szCs w:val="22"/>
              </w:rPr>
              <w:t>-</w:t>
            </w:r>
            <w:r w:rsidRPr="00B758B2">
              <w:rPr>
                <w:sz w:val="22"/>
                <w:szCs w:val="22"/>
              </w:rPr>
              <w:t>Aumentare il consumo di frutta e verdura</w:t>
            </w:r>
            <w:r>
              <w:rPr>
                <w:sz w:val="22"/>
                <w:szCs w:val="22"/>
              </w:rPr>
              <w:t xml:space="preserve"> (1.7)</w:t>
            </w: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0449DC" w:rsidRDefault="000449DC">
            <w:pPr>
              <w:rPr>
                <w:lang w:val="en-US"/>
              </w:rPr>
            </w:pPr>
            <w:r w:rsidRPr="00405B8D">
              <w:rPr>
                <w:b/>
                <w:sz w:val="28"/>
                <w:szCs w:val="28"/>
              </w:rPr>
              <w:t>EVIDENZE DI EFFICACIA</w:t>
            </w:r>
            <w:r w:rsidRPr="00C14EB9">
              <w:rPr>
                <w:sz w:val="28"/>
                <w:szCs w:val="28"/>
              </w:rPr>
              <w:t xml:space="preserve"> </w:t>
            </w:r>
            <w:r w:rsidRPr="00C14EB9">
              <w:rPr>
                <w:rFonts w:ascii="Arial" w:hAnsi="Arial" w:cs="Arial"/>
                <w:sz w:val="27"/>
                <w:szCs w:val="27"/>
              </w:rPr>
              <w:t xml:space="preserve"> </w:t>
            </w:r>
          </w:p>
        </w:tc>
      </w:tr>
      <w:tr w:rsidR="000449DC" w:rsidRPr="00160152" w:rsidTr="0098553E">
        <w:trPr>
          <w:trHeight w:val="1700"/>
        </w:trPr>
        <w:tc>
          <w:tcPr>
            <w:tcW w:w="9854" w:type="dxa"/>
            <w:vAlign w:val="center"/>
          </w:tcPr>
          <w:p w:rsidR="0098553E" w:rsidRDefault="0098553E" w:rsidP="0098553E">
            <w:pPr>
              <w:pStyle w:val="Default"/>
              <w:ind w:right="140" w:firstLine="142"/>
              <w:jc w:val="both"/>
              <w:rPr>
                <w:sz w:val="22"/>
                <w:szCs w:val="22"/>
              </w:rPr>
            </w:pPr>
          </w:p>
          <w:p w:rsidR="00EF653B" w:rsidRPr="0098553E" w:rsidRDefault="00EF653B" w:rsidP="0098553E">
            <w:pPr>
              <w:pStyle w:val="Default"/>
              <w:ind w:right="140" w:firstLine="142"/>
              <w:jc w:val="both"/>
              <w:rPr>
                <w:sz w:val="22"/>
                <w:szCs w:val="22"/>
              </w:rPr>
            </w:pPr>
            <w:r w:rsidRPr="0098553E">
              <w:rPr>
                <w:sz w:val="22"/>
                <w:szCs w:val="22"/>
              </w:rPr>
              <w:t>A livello di letteratura è riconosciuta l’efficacia degli interventi multidisciplinari, scuola, comunità , famiglia  per aumentare il consumo di frutta . Il messaggio deve essere relativo al consumo di frutta e non di tipo nutrizionale.Per aumentare il consumo di frutta nelle persona a basso reddito sono previsti interventi educativi da parte di personale formato.(Delgado-Noguera M, Tort S, Martínez-Zapata MJ, Bonfill X Primary schoolinterventions to promote fruit and vegetable consumption: a systematic review and meta-analysis PrevMed 2011 Jul-Aug;53(1-2):3-9 doi: 10 1016/j ypmed 2011 04 016 Epub 2011 May 11)</w:t>
            </w:r>
          </w:p>
          <w:p w:rsidR="00EF653B" w:rsidRPr="0098553E" w:rsidRDefault="00EF653B" w:rsidP="0098553E">
            <w:pPr>
              <w:pStyle w:val="Default"/>
              <w:ind w:right="140" w:firstLine="142"/>
              <w:jc w:val="both"/>
              <w:rPr>
                <w:sz w:val="22"/>
                <w:szCs w:val="22"/>
              </w:rPr>
            </w:pPr>
            <w:r w:rsidRPr="0098553E">
              <w:rPr>
                <w:sz w:val="22"/>
                <w:szCs w:val="22"/>
              </w:rPr>
              <w:t>Tra gli interventi di promozione della corretta alimentazione quelli che risultano di maggiore efficacia (strong evidence) sono gli interventi multicomponente ovvero quelli che combinano, riguardo il consumo di frutta e verdura, l’aumento della disponibilità di frutta e verdura con educazione nutrizionale fornita da un’insegnante, dove ci sia il coinvolgimento di almeno 1 genitore. (Effectiveness of school-based interventions in Europe to promote healthy nutrition in children and adolescents: systematic review of published and 'grey' literature.British Journal of Nutrition / Volume 103 / Issue 06 / March 2010, pp 781-</w:t>
            </w:r>
            <w:r w:rsidRPr="0098553E">
              <w:rPr>
                <w:sz w:val="22"/>
                <w:szCs w:val="22"/>
              </w:rPr>
              <w:lastRenderedPageBreak/>
              <w:t xml:space="preserve">797. </w:t>
            </w:r>
            <w:hyperlink r:id="rId7" w:history="1">
              <w:r w:rsidRPr="0098553E">
                <w:rPr>
                  <w:sz w:val="22"/>
                  <w:szCs w:val="22"/>
                </w:rPr>
                <w:t>Van Cauwenberghe E</w:t>
              </w:r>
            </w:hyperlink>
            <w:r w:rsidRPr="0098553E">
              <w:rPr>
                <w:sz w:val="22"/>
                <w:szCs w:val="22"/>
              </w:rPr>
              <w:t xml:space="preserve">, </w:t>
            </w:r>
            <w:hyperlink r:id="rId8" w:history="1">
              <w:r w:rsidRPr="0098553E">
                <w:rPr>
                  <w:sz w:val="22"/>
                  <w:szCs w:val="22"/>
                </w:rPr>
                <w:t>Maes L</w:t>
              </w:r>
            </w:hyperlink>
            <w:r w:rsidRPr="0098553E">
              <w:rPr>
                <w:sz w:val="22"/>
                <w:szCs w:val="22"/>
              </w:rPr>
              <w:t xml:space="preserve">, </w:t>
            </w:r>
            <w:hyperlink r:id="rId9" w:history="1">
              <w:r w:rsidRPr="0098553E">
                <w:rPr>
                  <w:sz w:val="22"/>
                  <w:szCs w:val="22"/>
                </w:rPr>
                <w:t>Spittaels H</w:t>
              </w:r>
            </w:hyperlink>
            <w:r w:rsidRPr="0098553E">
              <w:rPr>
                <w:sz w:val="22"/>
                <w:szCs w:val="22"/>
              </w:rPr>
              <w:t>, et al.)</w:t>
            </w:r>
          </w:p>
          <w:p w:rsidR="0039237B" w:rsidRPr="0024457A" w:rsidRDefault="00EF653B" w:rsidP="0098553E">
            <w:pPr>
              <w:pStyle w:val="Default"/>
              <w:ind w:right="140" w:firstLine="142"/>
              <w:jc w:val="both"/>
              <w:rPr>
                <w:rFonts w:cstheme="minorHAnsi"/>
              </w:rPr>
            </w:pPr>
            <w:r w:rsidRPr="0098553E">
              <w:rPr>
                <w:sz w:val="22"/>
                <w:szCs w:val="22"/>
              </w:rPr>
              <w:t>Inoltre le azioni, rivolte sia ai bambini sia alle famiglie, che sembrano avere maggiore efficacia mirano a: ridurre il consumo di bevande gassate zuccherate (forza della raccomandazione strong, grado di evidenza a supporto high); consigliare il consumo della prima colazione (forza della raccomandazione strong, grado di evidenza a supporto moderate); limitare</w:t>
            </w:r>
            <w:r w:rsidR="00C7010C">
              <w:rPr>
                <w:sz w:val="22"/>
                <w:szCs w:val="22"/>
              </w:rPr>
              <w:t xml:space="preserve"> </w:t>
            </w:r>
            <w:r w:rsidRPr="0098553E">
              <w:rPr>
                <w:sz w:val="22"/>
                <w:szCs w:val="22"/>
              </w:rPr>
              <w:t>la dimensione delle porzioni di cibo assunte (forza della raccomandazione strong, grado di evidenza a supporto high). (Prevention and Management of Obesity for Children and Adolescents, July 2013. Health Care Guideline. ICSI.)</w:t>
            </w: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0449DC" w:rsidRDefault="000449DC" w:rsidP="0098553E">
            <w:pPr>
              <w:rPr>
                <w:lang w:val="en-US"/>
              </w:rPr>
            </w:pPr>
            <w:r w:rsidRPr="000449DC">
              <w:rPr>
                <w:b/>
                <w:sz w:val="28"/>
                <w:szCs w:val="28"/>
              </w:rPr>
              <w:lastRenderedPageBreak/>
              <w:t>EVIDENZA DI SOSTENIBILIT</w:t>
            </w:r>
            <w:r w:rsidR="0098553E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5C779C" w:rsidTr="0098553E">
        <w:trPr>
          <w:trHeight w:val="2892"/>
        </w:trPr>
        <w:tc>
          <w:tcPr>
            <w:tcW w:w="9854" w:type="dxa"/>
            <w:vAlign w:val="center"/>
          </w:tcPr>
          <w:p w:rsidR="00EF653B" w:rsidRDefault="00EF653B" w:rsidP="0098553E">
            <w:pPr>
              <w:autoSpaceDE w:val="0"/>
              <w:autoSpaceDN w:val="0"/>
              <w:adjustRightInd w:val="0"/>
              <w:ind w:right="14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 attività proposte sono sostenibili nel tempo in quanto la formazione di un gruppo di formatori </w:t>
            </w:r>
            <w:r>
              <w:rPr>
                <w:rFonts w:cs="Calibri"/>
                <w:i/>
              </w:rPr>
              <w:t xml:space="preserve">ad hoc </w:t>
            </w:r>
            <w:r>
              <w:rPr>
                <w:rFonts w:cs="Calibri"/>
              </w:rPr>
              <w:t xml:space="preserve"> garantirà negli anni incontri annuali con gli insegnanti.</w:t>
            </w:r>
          </w:p>
          <w:p w:rsidR="00EF653B" w:rsidRDefault="00EF653B" w:rsidP="0098553E">
            <w:pPr>
              <w:autoSpaceDE w:val="0"/>
              <w:autoSpaceDN w:val="0"/>
              <w:adjustRightInd w:val="0"/>
              <w:ind w:right="140"/>
              <w:jc w:val="both"/>
              <w:rPr>
                <w:rFonts w:cs="Calibri"/>
              </w:rPr>
            </w:pPr>
            <w:r>
              <w:rPr>
                <w:rFonts w:cs="Calibri"/>
              </w:rPr>
              <w:t>La formazione dei formatori è ripetuta annualmente al fine di arruolare nuovi formatori e garantire eventuali sostituzioni.</w:t>
            </w:r>
          </w:p>
          <w:p w:rsidR="00EF653B" w:rsidRDefault="00EF653B" w:rsidP="0098553E">
            <w:pPr>
              <w:autoSpaceDE w:val="0"/>
              <w:autoSpaceDN w:val="0"/>
              <w:adjustRightInd w:val="0"/>
              <w:ind w:right="14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Le attività nelle classi saranno svolte prevalentemente dagli insegnanti e il personale AUSL sarà disponibile con numero telefonico e strumenti telematici </w:t>
            </w:r>
            <w:r w:rsidRPr="00EC1072">
              <w:rPr>
                <w:rFonts w:cs="Calibri"/>
                <w:i/>
              </w:rPr>
              <w:t>ad hoc</w:t>
            </w:r>
            <w:r>
              <w:rPr>
                <w:rFonts w:cs="Calibri"/>
              </w:rPr>
              <w:t xml:space="preserve"> per supporto ad insegnanti ed incontri con famiglie.</w:t>
            </w:r>
          </w:p>
          <w:p w:rsidR="0039237B" w:rsidRPr="0024457A" w:rsidRDefault="00EF653B" w:rsidP="001049A6">
            <w:pPr>
              <w:ind w:right="140"/>
              <w:jc w:val="both"/>
              <w:rPr>
                <w:rFonts w:cstheme="minorHAnsi"/>
              </w:rPr>
            </w:pPr>
            <w:r>
              <w:t>Le linee guida per la ristorazione scolastica rappresentano lo standard per le Ditte che preparano</w:t>
            </w:r>
            <w:r w:rsidR="001049A6">
              <w:t>,</w:t>
            </w:r>
            <w:r>
              <w:t xml:space="preserve"> somministrano e vendono alimenti nelle scuole e sono quindi oggetto di monitoraggio in corso di ispezione alle mense</w:t>
            </w: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0449DC" w:rsidRDefault="000449DC" w:rsidP="000449DC">
            <w:pPr>
              <w:rPr>
                <w:lang w:val="en-US"/>
              </w:rPr>
            </w:pPr>
            <w:r w:rsidRPr="000449DC">
              <w:rPr>
                <w:b/>
                <w:sz w:val="28"/>
                <w:szCs w:val="28"/>
              </w:rPr>
              <w:t>SISTEMA DI SORVEGLIANZA</w:t>
            </w:r>
          </w:p>
        </w:tc>
      </w:tr>
      <w:tr w:rsidR="000449DC" w:rsidRPr="000449DC" w:rsidTr="0098553E">
        <w:tc>
          <w:tcPr>
            <w:tcW w:w="9854" w:type="dxa"/>
          </w:tcPr>
          <w:p w:rsidR="000449DC" w:rsidRDefault="000449DC" w:rsidP="0039237B">
            <w:pPr>
              <w:pStyle w:val="Paragrafoelenco"/>
              <w:ind w:left="644"/>
            </w:pPr>
          </w:p>
          <w:p w:rsidR="00EF653B" w:rsidRDefault="00EF653B" w:rsidP="00EF653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TE2C44598t00"/>
                <w:szCs w:val="18"/>
              </w:rPr>
            </w:pPr>
            <w:r w:rsidRPr="00FF3C2E">
              <w:rPr>
                <w:rFonts w:ascii="Calibri" w:hAnsi="Calibri" w:cs="TTE2C44598t00"/>
                <w:szCs w:val="18"/>
              </w:rPr>
              <w:t>Report regionale sorveglianza Okkio alla Salute (dati sul consumo di frutta e verdura</w:t>
            </w:r>
            <w:r>
              <w:rPr>
                <w:rFonts w:ascii="Calibri" w:hAnsi="Calibri" w:cs="TTE2C44598t00"/>
                <w:szCs w:val="18"/>
              </w:rPr>
              <w:t>, colazione adeguata, merenda adeguata, consumo di bevande zuccherate, dei bambini di 8-9 anni)</w:t>
            </w:r>
          </w:p>
          <w:p w:rsidR="00EF653B" w:rsidRDefault="00EF653B" w:rsidP="00EF653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TE2C44598t00"/>
                <w:szCs w:val="18"/>
              </w:rPr>
            </w:pPr>
            <w:r w:rsidRPr="00FF3C2E">
              <w:rPr>
                <w:rFonts w:ascii="Calibri" w:hAnsi="Calibri" w:cs="TTE2C44598t00"/>
                <w:szCs w:val="18"/>
              </w:rPr>
              <w:t xml:space="preserve">Report regionale sorveglianza </w:t>
            </w:r>
            <w:r>
              <w:rPr>
                <w:rFonts w:ascii="Calibri" w:hAnsi="Calibri" w:cs="TTE2C44598t00"/>
                <w:szCs w:val="18"/>
              </w:rPr>
              <w:t xml:space="preserve">HBSC </w:t>
            </w:r>
            <w:r w:rsidRPr="00FF3C2E">
              <w:rPr>
                <w:rFonts w:ascii="Calibri" w:hAnsi="Calibri" w:cs="TTE2C44598t00"/>
                <w:szCs w:val="18"/>
              </w:rPr>
              <w:t>(dati sul consumo di frutta e verdura</w:t>
            </w:r>
            <w:r>
              <w:rPr>
                <w:rFonts w:ascii="Calibri" w:hAnsi="Calibri" w:cs="TTE2C44598t00"/>
                <w:szCs w:val="18"/>
              </w:rPr>
              <w:t>, colazione adeguata, merenda adeguata, consumo di bevande zuccherate, dei ragazzi di 11-15 anni)</w:t>
            </w:r>
          </w:p>
          <w:p w:rsidR="00EF653B" w:rsidRDefault="00EF653B" w:rsidP="00EF653B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TE2C44598t00"/>
                <w:szCs w:val="18"/>
              </w:rPr>
            </w:pPr>
            <w:r>
              <w:rPr>
                <w:rFonts w:ascii="Calibri" w:hAnsi="Calibri" w:cs="TTE2C44598t00"/>
                <w:szCs w:val="18"/>
              </w:rPr>
              <w:t>Questionari sulle abitudini alimentari (genitori, alunni)</w:t>
            </w:r>
          </w:p>
          <w:p w:rsidR="0039237B" w:rsidRPr="006E2488" w:rsidRDefault="0039237B" w:rsidP="0039237B">
            <w:pPr>
              <w:pStyle w:val="Paragrafoelenco"/>
              <w:ind w:left="644"/>
            </w:pPr>
          </w:p>
        </w:tc>
      </w:tr>
      <w:tr w:rsidR="006E2488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6E2488" w:rsidRPr="006E2488" w:rsidRDefault="006E2488" w:rsidP="006E2488">
            <w:pPr>
              <w:rPr>
                <w:sz w:val="24"/>
                <w:szCs w:val="24"/>
              </w:rPr>
            </w:pPr>
            <w:r w:rsidRPr="006E2488">
              <w:rPr>
                <w:b/>
                <w:sz w:val="28"/>
                <w:szCs w:val="28"/>
              </w:rPr>
              <w:t>CONTRASTO ALLE DISEGUAGLIANZE</w:t>
            </w:r>
          </w:p>
        </w:tc>
      </w:tr>
      <w:tr w:rsidR="006E2488" w:rsidRPr="000449DC" w:rsidTr="0098553E">
        <w:trPr>
          <w:trHeight w:val="4189"/>
        </w:trPr>
        <w:tc>
          <w:tcPr>
            <w:tcW w:w="9854" w:type="dxa"/>
          </w:tcPr>
          <w:p w:rsidR="00EF653B" w:rsidRPr="00311C13" w:rsidRDefault="00EF653B" w:rsidP="00EF653B">
            <w:pPr>
              <w:pStyle w:val="Default"/>
              <w:jc w:val="both"/>
              <w:rPr>
                <w:sz w:val="22"/>
                <w:szCs w:val="22"/>
              </w:rPr>
            </w:pPr>
            <w:r w:rsidRPr="00311C13">
              <w:rPr>
                <w:sz w:val="22"/>
                <w:szCs w:val="22"/>
              </w:rPr>
              <w:t>Si segnala che il progetto  è orientato alla prevenzione e al contrasto alle disuguaglianze, tenuto conto che il sovrappeso e l’obesità interessa</w:t>
            </w:r>
            <w:r>
              <w:rPr>
                <w:sz w:val="22"/>
                <w:szCs w:val="22"/>
              </w:rPr>
              <w:t>no strati socio-</w:t>
            </w:r>
            <w:r w:rsidRPr="00311C13">
              <w:rPr>
                <w:sz w:val="22"/>
                <w:szCs w:val="22"/>
              </w:rPr>
              <w:t>economici svantaggiati e</w:t>
            </w:r>
            <w:r>
              <w:rPr>
                <w:sz w:val="22"/>
                <w:szCs w:val="22"/>
              </w:rPr>
              <w:t xml:space="preserve"> che</w:t>
            </w:r>
            <w:r w:rsidRPr="00311C13">
              <w:rPr>
                <w:sz w:val="22"/>
                <w:szCs w:val="22"/>
              </w:rPr>
              <w:t xml:space="preserve"> le famiglie a basso reddito consumano meno frutta e verdura.</w:t>
            </w:r>
          </w:p>
          <w:p w:rsidR="00EF653B" w:rsidRDefault="00EF653B" w:rsidP="00EF653B">
            <w:pPr>
              <w:pStyle w:val="Default"/>
              <w:jc w:val="both"/>
              <w:rPr>
                <w:rFonts w:cs="TTE2C44598t00"/>
                <w:sz w:val="22"/>
                <w:szCs w:val="22"/>
              </w:rPr>
            </w:pPr>
            <w:r w:rsidRPr="00311C13">
              <w:rPr>
                <w:rFonts w:cs="TTE2C44598t00"/>
                <w:sz w:val="22"/>
                <w:szCs w:val="22"/>
              </w:rPr>
              <w:t>Il progetto preved</w:t>
            </w:r>
            <w:r>
              <w:rPr>
                <w:rFonts w:cs="TTE2C44598t00"/>
                <w:sz w:val="22"/>
                <w:szCs w:val="22"/>
              </w:rPr>
              <w:t xml:space="preserve">e il contrasto alle </w:t>
            </w:r>
            <w:r w:rsidRPr="00311C13">
              <w:rPr>
                <w:rFonts w:cs="TTE2C44598t00"/>
                <w:sz w:val="22"/>
                <w:szCs w:val="22"/>
              </w:rPr>
              <w:t>diseguaglianze tramite:</w:t>
            </w:r>
          </w:p>
          <w:p w:rsidR="00EF653B" w:rsidRPr="000428A9" w:rsidRDefault="00EF653B" w:rsidP="00EF65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TTE2C44598t00"/>
              </w:rPr>
            </w:pPr>
            <w:r>
              <w:rPr>
                <w:rFonts w:ascii="Calibri" w:hAnsi="Calibri" w:cs="TTE2C44598t00"/>
              </w:rPr>
              <w:t>f</w:t>
            </w:r>
            <w:r w:rsidRPr="000428A9">
              <w:rPr>
                <w:rFonts w:ascii="Calibri" w:hAnsi="Calibri" w:cs="TTE2C44598t00"/>
              </w:rPr>
              <w:t>orma</w:t>
            </w:r>
            <w:r>
              <w:rPr>
                <w:rFonts w:ascii="Calibri" w:hAnsi="Calibri" w:cs="TTE2C44598t00"/>
              </w:rPr>
              <w:t>zionede</w:t>
            </w:r>
            <w:r w:rsidRPr="000428A9">
              <w:rPr>
                <w:rFonts w:ascii="Calibri" w:hAnsi="Calibri" w:cs="TTE2C44598t00"/>
              </w:rPr>
              <w:t xml:space="preserve">l personale sociale dei comuni e degli ambiti sociali </w:t>
            </w:r>
            <w:r>
              <w:rPr>
                <w:rFonts w:ascii="Calibri" w:hAnsi="Calibri" w:cs="TTE2C44598t00"/>
              </w:rPr>
              <w:t xml:space="preserve">mediante </w:t>
            </w:r>
            <w:r w:rsidRPr="000428A9">
              <w:rPr>
                <w:rFonts w:ascii="Calibri" w:hAnsi="Calibri" w:cs="TTE2C44598t00"/>
              </w:rPr>
              <w:t xml:space="preserve">progetti educativi </w:t>
            </w:r>
            <w:r w:rsidRPr="000428A9">
              <w:rPr>
                <w:rFonts w:ascii="Calibri" w:hAnsi="Calibri" w:cs="TTE2C44598t00"/>
                <w:i/>
              </w:rPr>
              <w:t>ad hoc</w:t>
            </w:r>
            <w:r>
              <w:rPr>
                <w:rFonts w:ascii="Calibri" w:hAnsi="Calibri" w:cs="TTE2C44598t00"/>
                <w:i/>
              </w:rPr>
              <w:t xml:space="preserve"> </w:t>
            </w:r>
            <w:r>
              <w:rPr>
                <w:rFonts w:ascii="Calibri" w:hAnsi="Calibri" w:cs="TTE2C44598t00"/>
              </w:rPr>
              <w:t xml:space="preserve">per </w:t>
            </w:r>
            <w:r w:rsidRPr="000428A9">
              <w:rPr>
                <w:rFonts w:ascii="Calibri" w:hAnsi="Calibri" w:cs="TTE2C44598t00"/>
              </w:rPr>
              <w:t xml:space="preserve">i soggetti a basso reddito </w:t>
            </w:r>
          </w:p>
          <w:p w:rsidR="00EF653B" w:rsidRPr="00311C13" w:rsidRDefault="00EF653B" w:rsidP="00EF65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TTE2C44598t00"/>
              </w:rPr>
            </w:pPr>
            <w:r w:rsidRPr="00311C13">
              <w:rPr>
                <w:rFonts w:ascii="Calibri" w:hAnsi="Calibri" w:cs="TTE2C44598t00"/>
              </w:rPr>
              <w:t xml:space="preserve">possibilità di prendere accordi </w:t>
            </w:r>
            <w:r>
              <w:rPr>
                <w:rFonts w:ascii="Calibri" w:hAnsi="Calibri" w:cs="TTE2C44598t00"/>
              </w:rPr>
              <w:t xml:space="preserve">da parte dei comuni </w:t>
            </w:r>
            <w:r w:rsidRPr="00311C13">
              <w:rPr>
                <w:rFonts w:ascii="Calibri" w:hAnsi="Calibri" w:cs="TTE2C44598t00"/>
              </w:rPr>
              <w:t>con aziende di produttori agricoli per aumentare l’accessibilità al consumo di frutta e verdura da parte dei soggetti economicamente svantaggiati</w:t>
            </w:r>
          </w:p>
          <w:p w:rsidR="00EF653B" w:rsidRDefault="00EF653B" w:rsidP="00EF65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TTE2C44598t00"/>
              </w:rPr>
            </w:pPr>
            <w:r w:rsidRPr="00311C13">
              <w:rPr>
                <w:rFonts w:ascii="Calibri" w:hAnsi="Calibri" w:cs="TTE2C44598t00"/>
              </w:rPr>
              <w:t>valorizzazione della multiculturalità attraverso la conoscenza e la sperimentazione in classe delle culture alimentari dei paesi di origine dei bambini stranieri e/o con genitori stranieri</w:t>
            </w:r>
          </w:p>
          <w:p w:rsidR="00EF653B" w:rsidRPr="00311C13" w:rsidRDefault="00EF653B" w:rsidP="00EF65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TTE2C44598t00"/>
              </w:rPr>
            </w:pPr>
            <w:r>
              <w:rPr>
                <w:rFonts w:ascii="Calibri" w:hAnsi="Calibri" w:cs="TTE2C44598t00"/>
              </w:rPr>
              <w:t>si terrà conto delle differenze culturali anche nelle linee guida regionali sulla ristorazione scolastica</w:t>
            </w:r>
          </w:p>
          <w:p w:rsidR="00EF653B" w:rsidRPr="00311C13" w:rsidRDefault="00EF653B" w:rsidP="00EF65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TTE2C44598t00"/>
              </w:rPr>
            </w:pPr>
            <w:r w:rsidRPr="00311C13">
              <w:rPr>
                <w:rFonts w:ascii="Calibri" w:hAnsi="Calibri" w:cs="TTE2C44598t00"/>
              </w:rPr>
              <w:t>stesura in più lingue di materiali informativi da distribuire ai genitori per facilitarne la fruizione agli stranieri</w:t>
            </w:r>
          </w:p>
          <w:p w:rsidR="006E2488" w:rsidRPr="00351280" w:rsidRDefault="00EF653B" w:rsidP="00EF653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11C13">
              <w:rPr>
                <w:rFonts w:ascii="Calibri" w:hAnsi="Calibri" w:cs="TTE2C44598t00"/>
              </w:rPr>
              <w:t>realizzazione di incontri e materiali informativi chiari e comprensibili a tutti i soggetti coinvolti per abbattere le differenze nel grado di istruzione</w:t>
            </w: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0449DC" w:rsidRDefault="000449DC" w:rsidP="00D52B24">
            <w:pPr>
              <w:rPr>
                <w:lang w:val="en-US"/>
              </w:rPr>
            </w:pPr>
            <w:r w:rsidRPr="000449DC">
              <w:rPr>
                <w:b/>
                <w:sz w:val="28"/>
                <w:szCs w:val="28"/>
              </w:rPr>
              <w:t>OBIETTIV</w:t>
            </w:r>
            <w:r w:rsidR="00D52B24">
              <w:rPr>
                <w:b/>
                <w:sz w:val="28"/>
                <w:szCs w:val="28"/>
              </w:rPr>
              <w:t>I</w:t>
            </w:r>
            <w:r w:rsidRPr="000449DC">
              <w:rPr>
                <w:b/>
                <w:sz w:val="28"/>
                <w:szCs w:val="28"/>
              </w:rPr>
              <w:t xml:space="preserve"> SPECIFIC</w:t>
            </w:r>
            <w:r w:rsidR="00D52B24">
              <w:rPr>
                <w:b/>
                <w:sz w:val="28"/>
                <w:szCs w:val="28"/>
              </w:rPr>
              <w:t>I</w:t>
            </w:r>
            <w:r w:rsidR="00D20181">
              <w:rPr>
                <w:b/>
                <w:sz w:val="28"/>
                <w:szCs w:val="28"/>
              </w:rPr>
              <w:t xml:space="preserve"> e </w:t>
            </w:r>
            <w:r w:rsidR="00D52B24">
              <w:rPr>
                <w:b/>
                <w:sz w:val="28"/>
                <w:szCs w:val="28"/>
              </w:rPr>
              <w:t>loro</w:t>
            </w:r>
            <w:r w:rsidR="00D20181">
              <w:rPr>
                <w:b/>
                <w:sz w:val="28"/>
                <w:szCs w:val="28"/>
              </w:rPr>
              <w:t xml:space="preserve"> articolazioni</w:t>
            </w:r>
          </w:p>
        </w:tc>
      </w:tr>
      <w:tr w:rsidR="000449DC" w:rsidRPr="000449DC" w:rsidTr="00D52B24">
        <w:trPr>
          <w:trHeight w:val="1348"/>
        </w:trPr>
        <w:tc>
          <w:tcPr>
            <w:tcW w:w="9854" w:type="dxa"/>
            <w:vAlign w:val="center"/>
          </w:tcPr>
          <w:p w:rsidR="00D20181" w:rsidRDefault="00D20181" w:rsidP="0098553E">
            <w:pPr>
              <w:pStyle w:val="Default"/>
              <w:spacing w:after="58"/>
              <w:jc w:val="both"/>
              <w:rPr>
                <w:sz w:val="22"/>
                <w:szCs w:val="22"/>
              </w:rPr>
            </w:pPr>
            <w:r w:rsidRPr="00D20181">
              <w:rPr>
                <w:b/>
                <w:sz w:val="22"/>
                <w:szCs w:val="22"/>
              </w:rPr>
              <w:t>AB.2.7 –</w:t>
            </w:r>
            <w:r>
              <w:rPr>
                <w:sz w:val="22"/>
                <w:szCs w:val="22"/>
              </w:rPr>
              <w:t xml:space="preserve"> Aumentare la proporzione di soggetti in età evolutiva che adottano comportamenti alimentari sani (consumo di frutta e verdura, riduzione degli snack insalubri, delle bevande zuccherate e dell’uso di sale)</w:t>
            </w:r>
          </w:p>
          <w:p w:rsidR="000449DC" w:rsidRPr="00D52B24" w:rsidRDefault="00D20181" w:rsidP="00D20181">
            <w:pPr>
              <w:pStyle w:val="Default"/>
              <w:spacing w:after="58"/>
              <w:jc w:val="both"/>
              <w:rPr>
                <w:sz w:val="22"/>
                <w:szCs w:val="22"/>
              </w:rPr>
            </w:pPr>
            <w:r w:rsidRPr="00D20181">
              <w:rPr>
                <w:b/>
                <w:sz w:val="22"/>
                <w:szCs w:val="22"/>
              </w:rPr>
              <w:t>AB.2.8 –</w:t>
            </w:r>
            <w:r>
              <w:rPr>
                <w:sz w:val="22"/>
                <w:szCs w:val="22"/>
              </w:rPr>
              <w:t xml:space="preserve"> Adottare linee guida regionali per la ristorazione collettiva scolastica e per la distribuzione automatica di cibi e bevande nelle scuole </w:t>
            </w:r>
          </w:p>
        </w:tc>
      </w:tr>
    </w:tbl>
    <w:p w:rsidR="0098553E" w:rsidRDefault="0098553E">
      <w:r>
        <w:br w:type="page"/>
      </w:r>
    </w:p>
    <w:tbl>
      <w:tblPr>
        <w:tblStyle w:val="Grigliatabella"/>
        <w:tblW w:w="0" w:type="auto"/>
        <w:tblLook w:val="04A0"/>
      </w:tblPr>
      <w:tblGrid>
        <w:gridCol w:w="9854"/>
      </w:tblGrid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0449DC" w:rsidRDefault="000449DC">
            <w:r w:rsidRPr="00273D08">
              <w:rPr>
                <w:b/>
                <w:sz w:val="28"/>
                <w:szCs w:val="28"/>
              </w:rPr>
              <w:lastRenderedPageBreak/>
              <w:t>TARGET</w:t>
            </w:r>
          </w:p>
        </w:tc>
      </w:tr>
      <w:tr w:rsidR="000449DC" w:rsidRPr="000449DC" w:rsidTr="0098553E">
        <w:trPr>
          <w:trHeight w:val="487"/>
        </w:trPr>
        <w:tc>
          <w:tcPr>
            <w:tcW w:w="9854" w:type="dxa"/>
            <w:vAlign w:val="center"/>
          </w:tcPr>
          <w:p w:rsidR="009035FE" w:rsidRPr="006E2488" w:rsidRDefault="00EF653B" w:rsidP="0098553E">
            <w:pPr>
              <w:rPr>
                <w:rFonts w:cstheme="minorHAnsi"/>
              </w:rPr>
            </w:pPr>
            <w:r w:rsidRPr="00A2039D">
              <w:t>Popolazione infantile e giovanile delle scuole dell’infanzia, primaria, media inferiore e media superiore</w:t>
            </w: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4078D6" w:rsidRDefault="000449DC">
            <w:pPr>
              <w:rPr>
                <w:rFonts w:cstheme="minorHAnsi"/>
              </w:rPr>
            </w:pPr>
            <w:r w:rsidRPr="004078D6">
              <w:rPr>
                <w:rFonts w:cstheme="minorHAnsi"/>
                <w:b/>
                <w:sz w:val="28"/>
                <w:szCs w:val="28"/>
              </w:rPr>
              <w:t>SETTING</w:t>
            </w:r>
          </w:p>
        </w:tc>
      </w:tr>
      <w:tr w:rsidR="000449DC" w:rsidRPr="000449DC" w:rsidTr="0098553E">
        <w:trPr>
          <w:trHeight w:val="499"/>
        </w:trPr>
        <w:tc>
          <w:tcPr>
            <w:tcW w:w="9854" w:type="dxa"/>
            <w:vAlign w:val="center"/>
          </w:tcPr>
          <w:p w:rsidR="000449DC" w:rsidRPr="000449DC" w:rsidRDefault="0098553E" w:rsidP="0098553E">
            <w:r>
              <w:t>S</w:t>
            </w:r>
            <w:r w:rsidR="00EF653B">
              <w:t>cuola</w:t>
            </w: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0449DC" w:rsidRDefault="000449DC" w:rsidP="00B12123">
            <w:r w:rsidRPr="00273D08">
              <w:rPr>
                <w:b/>
                <w:sz w:val="28"/>
                <w:szCs w:val="28"/>
              </w:rPr>
              <w:t>INTERSETTORIALIT</w:t>
            </w:r>
            <w:r w:rsidR="00B12123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0449DC" w:rsidTr="0098553E">
        <w:trPr>
          <w:trHeight w:val="1191"/>
        </w:trPr>
        <w:tc>
          <w:tcPr>
            <w:tcW w:w="9854" w:type="dxa"/>
            <w:vAlign w:val="center"/>
          </w:tcPr>
          <w:p w:rsidR="000449DC" w:rsidRPr="0098553E" w:rsidRDefault="00EF653B" w:rsidP="00B12123">
            <w:r w:rsidRPr="0098553E">
              <w:t xml:space="preserve">Istituti scolastici, </w:t>
            </w:r>
            <w:r w:rsidR="00B12123">
              <w:t>Uffici Scolastici Regionale e Provinciali</w:t>
            </w:r>
            <w:r w:rsidRPr="0098553E">
              <w:t>, Famiglie, Comuni, Gestori del servizio di ristorazione scolastica, Pediatri, MMG, Servizi ASL, Associazioni produttori agricoli, Istituti alberghieri, Società di distribuzione automatica di alimenti e bevande.</w:t>
            </w: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273D08" w:rsidRDefault="000449DC" w:rsidP="00D1652F">
            <w:pPr>
              <w:rPr>
                <w:b/>
                <w:sz w:val="28"/>
                <w:szCs w:val="28"/>
              </w:rPr>
            </w:pPr>
            <w:r w:rsidRPr="000449DC">
              <w:rPr>
                <w:b/>
                <w:sz w:val="28"/>
                <w:szCs w:val="28"/>
              </w:rPr>
              <w:t xml:space="preserve">INDICATORI </w:t>
            </w:r>
          </w:p>
        </w:tc>
      </w:tr>
      <w:tr w:rsidR="000449DC" w:rsidRPr="000449DC" w:rsidTr="0098553E">
        <w:tc>
          <w:tcPr>
            <w:tcW w:w="9854" w:type="dxa"/>
          </w:tcPr>
          <w:p w:rsidR="00EF653B" w:rsidRDefault="00EF653B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tbl>
            <w:tblPr>
              <w:tblW w:w="98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704"/>
              <w:gridCol w:w="1515"/>
              <w:gridCol w:w="1418"/>
              <w:gridCol w:w="1417"/>
              <w:gridCol w:w="1418"/>
              <w:gridCol w:w="1392"/>
            </w:tblGrid>
            <w:tr w:rsidR="008F253A" w:rsidRPr="008F253A" w:rsidTr="001D425B">
              <w:tc>
                <w:tcPr>
                  <w:tcW w:w="2704" w:type="dxa"/>
                  <w:shd w:val="clear" w:color="auto" w:fill="D99594"/>
                </w:tcPr>
                <w:p w:rsidR="008F253A" w:rsidRPr="008F253A" w:rsidRDefault="008F253A" w:rsidP="008F253A">
                  <w:pPr>
                    <w:spacing w:after="0" w:line="240" w:lineRule="auto"/>
                    <w:jc w:val="both"/>
                    <w:rPr>
                      <w:rFonts w:cs="Calibri"/>
                      <w:b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sz w:val="18"/>
                      <w:szCs w:val="20"/>
                    </w:rPr>
                    <w:t>Indicatori di esito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>finalizzati al raggiungimento degli obiettivi specifici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i/>
                      <w:sz w:val="18"/>
                      <w:szCs w:val="20"/>
                    </w:rPr>
                    <w:t>Fonte: Sorveglianza Okkio Alla Salute, Direzione Scolastica regionale.</w:t>
                  </w:r>
                </w:p>
              </w:tc>
              <w:tc>
                <w:tcPr>
                  <w:tcW w:w="1515" w:type="dxa"/>
                  <w:shd w:val="clear" w:color="auto" w:fill="D99594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>Baseline</w:t>
                  </w:r>
                </w:p>
              </w:tc>
              <w:tc>
                <w:tcPr>
                  <w:tcW w:w="1418" w:type="dxa"/>
                  <w:shd w:val="clear" w:color="auto" w:fill="D99594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 xml:space="preserve">Valore atteso 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>2015</w:t>
                  </w:r>
                </w:p>
              </w:tc>
              <w:tc>
                <w:tcPr>
                  <w:tcW w:w="1417" w:type="dxa"/>
                  <w:shd w:val="clear" w:color="auto" w:fill="D99594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 xml:space="preserve">Valore atteso 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>2016</w:t>
                  </w:r>
                </w:p>
              </w:tc>
              <w:tc>
                <w:tcPr>
                  <w:tcW w:w="1418" w:type="dxa"/>
                  <w:shd w:val="clear" w:color="auto" w:fill="D99594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 xml:space="preserve">Valore atteso 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>2017</w:t>
                  </w:r>
                </w:p>
              </w:tc>
              <w:tc>
                <w:tcPr>
                  <w:tcW w:w="1392" w:type="dxa"/>
                  <w:shd w:val="clear" w:color="auto" w:fill="D99594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 xml:space="preserve">Valore atteso 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sz w:val="18"/>
                      <w:szCs w:val="20"/>
                    </w:rPr>
                    <w:t>2018</w:t>
                  </w:r>
                </w:p>
              </w:tc>
            </w:tr>
            <w:tr w:rsidR="008F253A" w:rsidRPr="008F253A" w:rsidTr="001D425B">
              <w:tc>
                <w:tcPr>
                  <w:tcW w:w="2704" w:type="dxa"/>
                </w:tcPr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 xml:space="preserve">Prevalenza dei bambini (8-9 anni) che consumano almeno 3 porzioni di frutta e/o verdura  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 xml:space="preserve">Cod. indicatore 1.7.2 </w:t>
                  </w:r>
                </w:p>
              </w:tc>
              <w:tc>
                <w:tcPr>
                  <w:tcW w:w="1515" w:type="dxa"/>
                  <w:vAlign w:val="bottom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51,2 %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(somma consumo di frutta + verdura da 2 a 3 porzioni al dì)</w:t>
                  </w:r>
                </w:p>
              </w:tc>
              <w:tc>
                <w:tcPr>
                  <w:tcW w:w="1418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55,0%</w:t>
                  </w:r>
                </w:p>
              </w:tc>
              <w:tc>
                <w:tcPr>
                  <w:tcW w:w="1418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i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i/>
                      <w:sz w:val="18"/>
                      <w:szCs w:val="20"/>
                    </w:rPr>
                    <w:t xml:space="preserve">58,8% 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Cs/>
                      <w:i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Cs/>
                      <w:i/>
                      <w:sz w:val="18"/>
                      <w:szCs w:val="20"/>
                    </w:rPr>
                    <w:t>(+ 15 %)</w:t>
                  </w:r>
                </w:p>
              </w:tc>
            </w:tr>
            <w:tr w:rsidR="008F253A" w:rsidRPr="008F253A" w:rsidTr="001D425B">
              <w:tc>
                <w:tcPr>
                  <w:tcW w:w="2704" w:type="dxa"/>
                </w:tcPr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Proporzione di istituti scolastici che aderiscono (con almeno l’80% delle classi) alla progettazione regionale specifica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 xml:space="preserve">Cod. indicatore 1.3.1 </w:t>
                  </w:r>
                </w:p>
              </w:tc>
              <w:tc>
                <w:tcPr>
                  <w:tcW w:w="1515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5%</w:t>
                  </w:r>
                </w:p>
              </w:tc>
              <w:tc>
                <w:tcPr>
                  <w:tcW w:w="1418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10%</w:t>
                  </w:r>
                </w:p>
              </w:tc>
              <w:tc>
                <w:tcPr>
                  <w:tcW w:w="1392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i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i/>
                      <w:sz w:val="18"/>
                      <w:szCs w:val="20"/>
                    </w:rPr>
                    <w:t>Almeno 10% degli istituti comprensivi regione</w:t>
                  </w:r>
                </w:p>
              </w:tc>
            </w:tr>
            <w:tr w:rsidR="008F253A" w:rsidRPr="008F253A" w:rsidTr="001D425B">
              <w:tc>
                <w:tcPr>
                  <w:tcW w:w="2704" w:type="dxa"/>
                </w:tcPr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Proporzione di controlli che rilevano la presenza di sale iodato presso la ristorazione collettiva</w:t>
                  </w:r>
                </w:p>
                <w:p w:rsidR="008F253A" w:rsidRPr="008F253A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Cod. indicatore 10.10.2</w:t>
                  </w:r>
                </w:p>
              </w:tc>
              <w:tc>
                <w:tcPr>
                  <w:tcW w:w="1515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 xml:space="preserve">Rilevazione nel 30% nelle mense della ristorazione collettiva (scuola dell’infanzia) e trasmissione dati </w:t>
                  </w:r>
                </w:p>
              </w:tc>
              <w:tc>
                <w:tcPr>
                  <w:tcW w:w="1418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sz w:val="18"/>
                      <w:szCs w:val="20"/>
                    </w:rPr>
                    <w:t>Rilevazione nel 70% nelle mense della ristorazione collettiva (scuola dell’infanzia) e trasmissione dati</w:t>
                  </w:r>
                </w:p>
              </w:tc>
              <w:tc>
                <w:tcPr>
                  <w:tcW w:w="1392" w:type="dxa"/>
                  <w:vAlign w:val="center"/>
                </w:tcPr>
                <w:p w:rsidR="008F253A" w:rsidRPr="008F253A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i/>
                      <w:sz w:val="18"/>
                      <w:szCs w:val="20"/>
                    </w:rPr>
                  </w:pPr>
                  <w:r w:rsidRPr="008F253A">
                    <w:rPr>
                      <w:rFonts w:cs="Calibri"/>
                      <w:b/>
                      <w:bCs/>
                      <w:i/>
                      <w:sz w:val="18"/>
                      <w:szCs w:val="20"/>
                    </w:rPr>
                    <w:t>100% di trasmissione dei dati sui controlli effettuati secondo procedure standardizzate</w:t>
                  </w:r>
                </w:p>
              </w:tc>
            </w:tr>
          </w:tbl>
          <w:p w:rsidR="008F253A" w:rsidRPr="00B5671D" w:rsidRDefault="008F253A" w:rsidP="008F253A">
            <w:pPr>
              <w:rPr>
                <w:sz w:val="10"/>
                <w:szCs w:val="20"/>
              </w:rPr>
            </w:pPr>
          </w:p>
          <w:tbl>
            <w:tblPr>
              <w:tblW w:w="512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61"/>
              <w:gridCol w:w="1435"/>
              <w:gridCol w:w="992"/>
              <w:gridCol w:w="1458"/>
              <w:gridCol w:w="1513"/>
              <w:gridCol w:w="1513"/>
              <w:gridCol w:w="1156"/>
            </w:tblGrid>
            <w:tr w:rsidR="008F253A" w:rsidRPr="00A2039D" w:rsidTr="001D425B">
              <w:tc>
                <w:tcPr>
                  <w:tcW w:w="1600" w:type="pct"/>
                  <w:gridSpan w:val="2"/>
                  <w:shd w:val="clear" w:color="auto" w:fill="C2D69B"/>
                </w:tcPr>
                <w:p w:rsidR="008F253A" w:rsidRPr="00A2039D" w:rsidRDefault="008F253A" w:rsidP="008F253A">
                  <w:pPr>
                    <w:spacing w:after="0" w:line="240" w:lineRule="auto"/>
                    <w:jc w:val="both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>Indicatori di processo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both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 xml:space="preserve">( sentinella )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both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>finalizzati al raggiungimento degli obiettivi specifici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i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i/>
                      <w:sz w:val="18"/>
                      <w:szCs w:val="18"/>
                    </w:rPr>
                    <w:t>Fonte: Regione</w:t>
                  </w:r>
                </w:p>
              </w:tc>
              <w:tc>
                <w:tcPr>
                  <w:tcW w:w="631" w:type="pct"/>
                  <w:shd w:val="clear" w:color="auto" w:fill="C2D69B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>Baseline</w:t>
                  </w:r>
                </w:p>
              </w:tc>
              <w:tc>
                <w:tcPr>
                  <w:tcW w:w="632" w:type="pct"/>
                  <w:shd w:val="clear" w:color="auto" w:fill="C2D69B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 xml:space="preserve">Valore atteso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704" w:type="pct"/>
                  <w:shd w:val="clear" w:color="auto" w:fill="C2D69B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 xml:space="preserve">Valore atteso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772" w:type="pct"/>
                  <w:shd w:val="clear" w:color="auto" w:fill="C2D69B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>Valore atteso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662" w:type="pct"/>
                  <w:shd w:val="clear" w:color="auto" w:fill="C2D69B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 xml:space="preserve">Valore atteso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sz w:val="18"/>
                      <w:szCs w:val="18"/>
                    </w:rPr>
                    <w:t>2018</w:t>
                  </w:r>
                </w:p>
              </w:tc>
            </w:tr>
            <w:tr w:rsidR="008F253A" w:rsidRPr="00A2039D" w:rsidTr="001D425B">
              <w:trPr>
                <w:trHeight w:val="755"/>
              </w:trPr>
              <w:tc>
                <w:tcPr>
                  <w:tcW w:w="8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MACROBIETTIVO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INDICATORE Di PROCESSO 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>Pluralità di document</w:t>
                  </w: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lastRenderedPageBreak/>
                    <w:t>i</w:t>
                  </w:r>
                </w:p>
              </w:tc>
              <w:tc>
                <w:tcPr>
                  <w:tcW w:w="6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Raccolta e perfezionament</w:t>
                  </w: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lastRenderedPageBreak/>
                    <w:t>o dati di tutte le attività</w:t>
                  </w:r>
                </w:p>
              </w:tc>
              <w:tc>
                <w:tcPr>
                  <w:tcW w:w="7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lastRenderedPageBreak/>
                    <w:t>50% incontri programmati</w:t>
                  </w:r>
                </w:p>
              </w:tc>
              <w:tc>
                <w:tcPr>
                  <w:tcW w:w="7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100% incontri programmati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lastRenderedPageBreak/>
                    <w:t>Report attività svolte</w:t>
                  </w:r>
                </w:p>
              </w:tc>
            </w:tr>
            <w:tr w:rsidR="008F253A" w:rsidRPr="00A2039D" w:rsidTr="001D425B">
              <w:trPr>
                <w:trHeight w:val="3206"/>
              </w:trPr>
              <w:tc>
                <w:tcPr>
                  <w:tcW w:w="8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lastRenderedPageBreak/>
                    <w:t>Obiettivo 1.3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Promozione del potenziamento dei fattori di protezione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(life skill, empowerment) attraverso interventi multidisciplinari rivolti ad insegnanti, famiglie, PLS e MMG</w:t>
                  </w: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>Report di tutte le attività svolte nelle varie azioni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3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8F253A" w:rsidRPr="00A2039D" w:rsidTr="001D425B">
              <w:trPr>
                <w:trHeight w:val="660"/>
              </w:trPr>
              <w:tc>
                <w:tcPr>
                  <w:tcW w:w="8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lastRenderedPageBreak/>
                    <w:t>MACROBIETTIVO 2.1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INDICATORE DI PROCESSO 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>Pluralità di documenti</w:t>
                  </w:r>
                </w:p>
              </w:tc>
              <w:tc>
                <w:tcPr>
                  <w:tcW w:w="6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Scelta del questionario da somministrare</w:t>
                  </w:r>
                </w:p>
              </w:tc>
              <w:tc>
                <w:tcPr>
                  <w:tcW w:w="7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Somministrazione e raccolta dati al tempo 0 </w:t>
                  </w:r>
                </w:p>
              </w:tc>
              <w:tc>
                <w:tcPr>
                  <w:tcW w:w="7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Somministrazione e raccolta dati al 50% delle classi target</w:t>
                  </w:r>
                </w:p>
              </w:tc>
              <w:tc>
                <w:tcPr>
                  <w:tcW w:w="66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Incremento del 15% delle abitudini alimentari corrette</w:t>
                  </w:r>
                </w:p>
              </w:tc>
            </w:tr>
            <w:tr w:rsidR="008F253A" w:rsidRPr="00A2039D" w:rsidTr="001D425B">
              <w:trPr>
                <w:trHeight w:val="1875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Obiettivo 1.3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Adozione di comportamenti alimentari sani</w:t>
                  </w: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Sperimentazione questionario validato sulle abitudini alimentari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(alunni, genitori) al 50% delle classi target</w:t>
                  </w: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F253A" w:rsidRPr="00A2039D" w:rsidTr="001D425B">
              <w:tc>
                <w:tcPr>
                  <w:tcW w:w="899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Produzione e fornitura di materiale didattico per genitori, insegnanti e alunni, PLS e MMG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Pluralità di materiali didattici</w:t>
                  </w:r>
                </w:p>
              </w:tc>
              <w:tc>
                <w:tcPr>
                  <w:tcW w:w="6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Scelta dei materiali didattici e produzione per tutte le classi target e agli </w:t>
                  </w:r>
                  <w:r w:rsidRPr="00A2039D">
                    <w:rPr>
                      <w:rFonts w:cs="Calibri"/>
                      <w:b/>
                      <w:bCs/>
                      <w:i/>
                      <w:sz w:val="18"/>
                      <w:szCs w:val="18"/>
                    </w:rPr>
                    <w:t>stakeholder</w:t>
                  </w:r>
                </w:p>
              </w:tc>
              <w:tc>
                <w:tcPr>
                  <w:tcW w:w="7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Somministrazione dei materiali didattici al 50% delle classi target e agli </w:t>
                  </w:r>
                  <w:r w:rsidRPr="00A2039D">
                    <w:rPr>
                      <w:rFonts w:cs="Calibri"/>
                      <w:b/>
                      <w:bCs/>
                      <w:i/>
                      <w:sz w:val="18"/>
                      <w:szCs w:val="18"/>
                    </w:rPr>
                    <w:t>stakeholder</w:t>
                  </w:r>
                </w:p>
              </w:tc>
              <w:tc>
                <w:tcPr>
                  <w:tcW w:w="7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Somministrazione dei materiali didattici al 100% delle classi target e agli </w:t>
                  </w:r>
                  <w:r w:rsidRPr="00A2039D">
                    <w:rPr>
                      <w:rFonts w:cs="Calibri"/>
                      <w:b/>
                      <w:bCs/>
                      <w:i/>
                      <w:sz w:val="18"/>
                      <w:szCs w:val="18"/>
                    </w:rPr>
                    <w:t>stakeholder</w:t>
                  </w:r>
                </w:p>
              </w:tc>
              <w:tc>
                <w:tcPr>
                  <w:tcW w:w="6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Report attività svolte</w:t>
                  </w:r>
                </w:p>
              </w:tc>
            </w:tr>
            <w:tr w:rsidR="008F253A" w:rsidRPr="00A2039D" w:rsidTr="001D425B">
              <w:tc>
                <w:tcPr>
                  <w:tcW w:w="89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Elaborazione protocollo delle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Attività pratiche  da svolgere con genitori, famiglie e alunni in collaborazione con Istituti Alberghieri, aziende agricole , comuni 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Pluralità di documenti </w:t>
                  </w:r>
                </w:p>
              </w:tc>
              <w:tc>
                <w:tcPr>
                  <w:tcW w:w="6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Censimento dei soggetti coinvolti nello sviluppo delle attività( Istituti Alberghieri, Comuni, Aziende agricole )</w:t>
                  </w:r>
                </w:p>
              </w:tc>
              <w:tc>
                <w:tcPr>
                  <w:tcW w:w="7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Svolgimento delle attività pratiche nel 30% delle classi target</w:t>
                  </w:r>
                </w:p>
              </w:tc>
              <w:tc>
                <w:tcPr>
                  <w:tcW w:w="6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Svolgimento delle attività pratiche nel 50% delle classi target </w:t>
                  </w:r>
                </w:p>
              </w:tc>
            </w:tr>
            <w:tr w:rsidR="008F253A" w:rsidRPr="00A2039D" w:rsidTr="001D425B">
              <w:trPr>
                <w:trHeight w:val="543"/>
              </w:trPr>
              <w:tc>
                <w:tcPr>
                  <w:tcW w:w="8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MACROBIETTIVO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2.10</w:t>
                  </w: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INDICATORE  DI PROCESSO </w:t>
                  </w:r>
                </w:p>
              </w:tc>
              <w:tc>
                <w:tcPr>
                  <w:tcW w:w="6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>Pluralità di documenti</w:t>
                  </w:r>
                </w:p>
              </w:tc>
              <w:tc>
                <w:tcPr>
                  <w:tcW w:w="6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Censimento del 100% delle mense scolastiche della scuola dell’infanzia </w:t>
                  </w:r>
                </w:p>
              </w:tc>
              <w:tc>
                <w:tcPr>
                  <w:tcW w:w="7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F253A" w:rsidRPr="00A2039D" w:rsidTr="001D425B">
              <w:trPr>
                <w:trHeight w:val="991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Obiettivo 10.10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Ridurre i disordini da carenza iodica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Disponibilità di un elenco completo delle mense scolastiche della scuola dell’infanzia</w:t>
                  </w:r>
                </w:p>
              </w:tc>
              <w:tc>
                <w:tcPr>
                  <w:tcW w:w="63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7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F253A" w:rsidRPr="00A2039D" w:rsidTr="001D425B">
              <w:trPr>
                <w:trHeight w:val="991"/>
              </w:trPr>
              <w:tc>
                <w:tcPr>
                  <w:tcW w:w="899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Indagine conoscitiva sulla presenza di sale iodato nei capitolati d’appalto delle </w:t>
                  </w: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lastRenderedPageBreak/>
                    <w:t>ditte di ristorazione scolastica</w:t>
                  </w:r>
                </w:p>
              </w:tc>
              <w:tc>
                <w:tcPr>
                  <w:tcW w:w="631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lastRenderedPageBreak/>
                    <w:t>Pluralità di documenti</w:t>
                  </w:r>
                </w:p>
              </w:tc>
              <w:tc>
                <w:tcPr>
                  <w:tcW w:w="63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100% delle ditte di ristorazione scolastica indagate sull’utilizzo di sale iodato</w:t>
                  </w:r>
                </w:p>
              </w:tc>
              <w:tc>
                <w:tcPr>
                  <w:tcW w:w="77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F253A" w:rsidRPr="00A2039D" w:rsidTr="001D425B">
              <w:trPr>
                <w:trHeight w:val="991"/>
              </w:trPr>
              <w:tc>
                <w:tcPr>
                  <w:tcW w:w="899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Sviluppo di protocollo standard per invio dei dati al Ministero e all’ISS sull’utilizzo di sale iodato nella ristorazione collettiva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C8507A">
                    <w:rPr>
                      <w:rFonts w:cs="Calibri"/>
                      <w:b/>
                      <w:bCs/>
                      <w:sz w:val="18"/>
                      <w:szCs w:val="18"/>
                      <w:highlight w:val="yellow"/>
                    </w:rPr>
                    <w:t>( indicatore sentinella)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31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>Pluralità di documenti</w:t>
                  </w:r>
                </w:p>
              </w:tc>
              <w:tc>
                <w:tcPr>
                  <w:tcW w:w="63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7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70% controlli effettuati secondo procedura ed invio dati</w:t>
                  </w:r>
                </w:p>
              </w:tc>
              <w:tc>
                <w:tcPr>
                  <w:tcW w:w="66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100% controlli effettuati secondo procedura ed invio dati</w:t>
                  </w:r>
                </w:p>
              </w:tc>
            </w:tr>
            <w:tr w:rsidR="008F253A" w:rsidRPr="00A2039D" w:rsidTr="001D425B">
              <w:trPr>
                <w:trHeight w:val="991"/>
              </w:trPr>
              <w:tc>
                <w:tcPr>
                  <w:tcW w:w="899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MACROOBIETTIVO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INDICATORE  DI PROCESSO</w:t>
                  </w:r>
                </w:p>
              </w:tc>
              <w:tc>
                <w:tcPr>
                  <w:tcW w:w="631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3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7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" w:type="pc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F253A" w:rsidRPr="00A2039D" w:rsidTr="001D425B">
              <w:trPr>
                <w:trHeight w:val="991"/>
              </w:trPr>
              <w:tc>
                <w:tcPr>
                  <w:tcW w:w="899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Obiettivo 1.3 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Adozione di comportamenti alimentari sani</w:t>
                  </w:r>
                </w:p>
              </w:tc>
              <w:tc>
                <w:tcPr>
                  <w:tcW w:w="7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Adozione di linee guida regionali per la ristorazione scolastica e per la distribuzione automatica di alimenti e bevande nelle scuole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C8507A">
                    <w:rPr>
                      <w:rFonts w:cs="Calibri"/>
                      <w:b/>
                      <w:bCs/>
                      <w:sz w:val="18"/>
                      <w:szCs w:val="18"/>
                      <w:highlight w:val="yellow"/>
                    </w:rPr>
                    <w:t>( indicatore sentinella)</w:t>
                  </w:r>
                </w:p>
              </w:tc>
              <w:tc>
                <w:tcPr>
                  <w:tcW w:w="631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sz w:val="18"/>
                      <w:szCs w:val="18"/>
                    </w:rPr>
                    <w:t>Pluralità di documenti</w:t>
                  </w:r>
                </w:p>
              </w:tc>
              <w:tc>
                <w:tcPr>
                  <w:tcW w:w="632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4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Valutazione dell’adeguatezza del 100% dei menù scolastici rispetto alle linee di indirizzo nazionali tramite check list </w:t>
                  </w:r>
                  <w:r w:rsidRPr="00A2039D">
                    <w:rPr>
                      <w:rFonts w:cs="Calibri"/>
                      <w:b/>
                      <w:bCs/>
                      <w:i/>
                      <w:sz w:val="18"/>
                      <w:szCs w:val="18"/>
                    </w:rPr>
                    <w:t>ad hoc</w:t>
                  </w:r>
                </w:p>
              </w:tc>
              <w:tc>
                <w:tcPr>
                  <w:tcW w:w="772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Stesura n.2 linee guida regionali (nidi e scuola dell’infanzia )</w:t>
                  </w:r>
                </w:p>
              </w:tc>
              <w:tc>
                <w:tcPr>
                  <w:tcW w:w="662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Stesura n.4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A2039D">
                    <w:rPr>
                      <w:rFonts w:cs="Calibri"/>
                      <w:b/>
                      <w:bCs/>
                      <w:sz w:val="18"/>
                      <w:szCs w:val="18"/>
                    </w:rPr>
                    <w:t>linee guida regionali (scuola primaria, media inferiore e superiore, distribuzione automatica)</w:t>
                  </w:r>
                </w:p>
                <w:p w:rsidR="008F253A" w:rsidRPr="00A2039D" w:rsidRDefault="008F253A" w:rsidP="008F253A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D14EAD" w:rsidRDefault="00D14EAD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D14EAD" w:rsidRPr="00273D08" w:rsidRDefault="00D14EAD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</w:tc>
      </w:tr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273D08" w:rsidRDefault="000449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ATTIVIT</w:t>
            </w:r>
            <w:r w:rsidR="0098553E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0449DC" w:rsidTr="0098553E">
        <w:trPr>
          <w:trHeight w:val="3504"/>
        </w:trPr>
        <w:tc>
          <w:tcPr>
            <w:tcW w:w="9854" w:type="dxa"/>
            <w:vAlign w:val="center"/>
          </w:tcPr>
          <w:p w:rsidR="00EF653B" w:rsidRDefault="00EF653B" w:rsidP="0098553E">
            <w:pPr>
              <w:pStyle w:val="Default"/>
              <w:ind w:right="140"/>
              <w:jc w:val="both"/>
              <w:rPr>
                <w:sz w:val="22"/>
              </w:rPr>
            </w:pPr>
            <w:r>
              <w:rPr>
                <w:sz w:val="22"/>
              </w:rPr>
              <w:t>Le azioni del progetto “</w:t>
            </w:r>
            <w:r w:rsidRPr="00EC1072">
              <w:rPr>
                <w:sz w:val="22"/>
              </w:rPr>
              <w:t>sana alimentazione per una scuola in salute</w:t>
            </w:r>
            <w:r>
              <w:rPr>
                <w:sz w:val="22"/>
              </w:rPr>
              <w:t>” sono:</w:t>
            </w:r>
          </w:p>
          <w:p w:rsidR="00EF653B" w:rsidRDefault="00EF653B" w:rsidP="0098553E">
            <w:pPr>
              <w:pStyle w:val="Default"/>
              <w:numPr>
                <w:ilvl w:val="0"/>
                <w:numId w:val="20"/>
              </w:numPr>
              <w:ind w:right="140"/>
              <w:jc w:val="both"/>
              <w:rPr>
                <w:sz w:val="22"/>
              </w:rPr>
            </w:pPr>
            <w:r>
              <w:rPr>
                <w:sz w:val="22"/>
              </w:rPr>
              <w:t>Promuovere la life skill e l’empowerment attraverso interventi multidisciplinari rivolti a insegnanti, alunni e famiglie (incontri, formazione, materiale didattico).</w:t>
            </w:r>
          </w:p>
          <w:p w:rsidR="00EF653B" w:rsidRDefault="00EF653B" w:rsidP="0098553E">
            <w:pPr>
              <w:pStyle w:val="Default"/>
              <w:numPr>
                <w:ilvl w:val="0"/>
                <w:numId w:val="20"/>
              </w:numPr>
              <w:ind w:right="140"/>
              <w:jc w:val="both"/>
              <w:rPr>
                <w:sz w:val="22"/>
              </w:rPr>
            </w:pPr>
            <w:r>
              <w:rPr>
                <w:sz w:val="22"/>
              </w:rPr>
              <w:t>Promuovere comportamenti alimentari sani (incentivare colazione sana, merenda adeguata, consumo di frutta e verdura, ridurre il consumo di sale eccessivo ed il consumo di bevande zuccherate) tramite interventi nelle classi, nel contesto familiare e ambientale (incontri, formazione, materiale didattico, attività pratiche -laboratori di cucina, percorsi di spesa salutare, integrazione culturale alimentare, orti didattici- aumento dell’accessibilità al consumo di frutta e verdura)</w:t>
            </w:r>
          </w:p>
          <w:p w:rsidR="00EF653B" w:rsidRDefault="00EF653B" w:rsidP="0098553E">
            <w:pPr>
              <w:pStyle w:val="Default"/>
              <w:numPr>
                <w:ilvl w:val="0"/>
                <w:numId w:val="20"/>
              </w:numPr>
              <w:ind w:right="140"/>
              <w:jc w:val="both"/>
              <w:rPr>
                <w:sz w:val="22"/>
              </w:rPr>
            </w:pPr>
            <w:r>
              <w:rPr>
                <w:sz w:val="22"/>
              </w:rPr>
              <w:t>Riduzione del consumo di sale e promozione dell’utilizzo di sale iodato nella ristorazione collettiva</w:t>
            </w:r>
          </w:p>
          <w:p w:rsidR="00CF4934" w:rsidRPr="00CF4934" w:rsidRDefault="00EF653B" w:rsidP="0098553E">
            <w:pPr>
              <w:pStyle w:val="Default"/>
              <w:numPr>
                <w:ilvl w:val="0"/>
                <w:numId w:val="20"/>
              </w:numPr>
              <w:ind w:right="140"/>
              <w:jc w:val="both"/>
              <w:rPr>
                <w:b/>
                <w:sz w:val="28"/>
                <w:szCs w:val="28"/>
              </w:rPr>
            </w:pPr>
            <w:r w:rsidRPr="008B2D16">
              <w:rPr>
                <w:sz w:val="22"/>
              </w:rPr>
              <w:t>Adozione di linee guida regionali per la ristorazione scolastica e per la distribuzione automatica di alimenti e bevande nelle scuole</w:t>
            </w:r>
            <w:r>
              <w:rPr>
                <w:sz w:val="22"/>
              </w:rPr>
              <w:t>, al fine di promuovere e rafforzare gli obiettivi 1, 2, 3.</w:t>
            </w:r>
          </w:p>
        </w:tc>
      </w:tr>
    </w:tbl>
    <w:p w:rsidR="00F91F17" w:rsidRDefault="00F91F17">
      <w:pPr>
        <w:sectPr w:rsidR="00F91F17" w:rsidSect="00C8286D">
          <w:footerReference w:type="default" r:id="rId10"/>
          <w:pgSz w:w="11906" w:h="16838"/>
          <w:pgMar w:top="1417" w:right="1134" w:bottom="1134" w:left="1134" w:header="708" w:footer="708" w:gutter="0"/>
          <w:pgNumType w:start="33"/>
          <w:cols w:space="708"/>
          <w:docGrid w:linePitch="360"/>
        </w:sectPr>
      </w:pPr>
    </w:p>
    <w:tbl>
      <w:tblPr>
        <w:tblStyle w:val="Grigliatabella"/>
        <w:tblW w:w="0" w:type="auto"/>
        <w:tblLook w:val="04A0"/>
      </w:tblPr>
      <w:tblGrid>
        <w:gridCol w:w="14425"/>
      </w:tblGrid>
      <w:tr w:rsidR="0071552A" w:rsidRPr="000449DC" w:rsidTr="00F91F17">
        <w:tc>
          <w:tcPr>
            <w:tcW w:w="14425" w:type="dxa"/>
            <w:shd w:val="clear" w:color="auto" w:fill="D9D9D9" w:themeFill="background1" w:themeFillShade="D9"/>
          </w:tcPr>
          <w:p w:rsidR="0071552A" w:rsidRPr="005D5C28" w:rsidRDefault="0071552A" w:rsidP="0098553E">
            <w:pPr>
              <w:jc w:val="center"/>
              <w:rPr>
                <w:b/>
                <w:sz w:val="28"/>
                <w:szCs w:val="28"/>
              </w:rPr>
            </w:pPr>
            <w:r w:rsidRPr="005D5C28">
              <w:rPr>
                <w:b/>
                <w:sz w:val="28"/>
                <w:szCs w:val="28"/>
              </w:rPr>
              <w:lastRenderedPageBreak/>
              <w:t>CRONOPROGRAMMA</w:t>
            </w:r>
            <w:r w:rsidR="0098553E">
              <w:rPr>
                <w:b/>
                <w:sz w:val="28"/>
                <w:szCs w:val="28"/>
              </w:rPr>
              <w:t xml:space="preserve"> </w:t>
            </w:r>
            <w:r w:rsidR="00F91F17">
              <w:rPr>
                <w:b/>
                <w:sz w:val="28"/>
                <w:szCs w:val="28"/>
              </w:rPr>
              <w:t xml:space="preserve">GENERALE </w:t>
            </w:r>
            <w:r w:rsidR="0098553E">
              <w:rPr>
                <w:b/>
                <w:sz w:val="28"/>
                <w:szCs w:val="28"/>
              </w:rPr>
              <w:t>DELL’AZIONE</w:t>
            </w:r>
          </w:p>
        </w:tc>
      </w:tr>
    </w:tbl>
    <w:p w:rsidR="00F91F17" w:rsidRDefault="00F91F17"/>
    <w:tbl>
      <w:tblPr>
        <w:tblW w:w="11698" w:type="dxa"/>
        <w:jc w:val="center"/>
        <w:tblInd w:w="-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6"/>
        <w:gridCol w:w="851"/>
        <w:gridCol w:w="850"/>
        <w:gridCol w:w="851"/>
        <w:gridCol w:w="850"/>
      </w:tblGrid>
      <w:tr w:rsidR="00F91F17" w:rsidRPr="00A2039D" w:rsidTr="003F126C">
        <w:trPr>
          <w:trHeight w:val="540"/>
          <w:jc w:val="center"/>
        </w:trPr>
        <w:tc>
          <w:tcPr>
            <w:tcW w:w="8296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851" w:type="dxa"/>
            <w:vAlign w:val="center"/>
          </w:tcPr>
          <w:p w:rsidR="00F91F17" w:rsidRPr="00F91F17" w:rsidRDefault="00F91F17" w:rsidP="00F91F1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91F17">
              <w:rPr>
                <w:rFonts w:cs="Calibri"/>
                <w:b/>
              </w:rPr>
              <w:t>2015</w:t>
            </w:r>
          </w:p>
        </w:tc>
        <w:tc>
          <w:tcPr>
            <w:tcW w:w="850" w:type="dxa"/>
            <w:vAlign w:val="center"/>
          </w:tcPr>
          <w:p w:rsidR="00F91F17" w:rsidRPr="00F91F17" w:rsidRDefault="00F91F17" w:rsidP="00F91F1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91F17">
              <w:rPr>
                <w:rFonts w:cs="Calibri"/>
                <w:b/>
              </w:rPr>
              <w:t>2016</w:t>
            </w:r>
          </w:p>
        </w:tc>
        <w:tc>
          <w:tcPr>
            <w:tcW w:w="851" w:type="dxa"/>
            <w:vAlign w:val="center"/>
          </w:tcPr>
          <w:p w:rsidR="00F91F17" w:rsidRPr="00F91F17" w:rsidRDefault="00F91F17" w:rsidP="00F91F1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91F17">
              <w:rPr>
                <w:rFonts w:cs="Calibri"/>
                <w:b/>
              </w:rPr>
              <w:t>2017</w:t>
            </w:r>
          </w:p>
        </w:tc>
        <w:tc>
          <w:tcPr>
            <w:tcW w:w="850" w:type="dxa"/>
            <w:vAlign w:val="center"/>
          </w:tcPr>
          <w:p w:rsidR="00F91F17" w:rsidRPr="00F91F17" w:rsidRDefault="00F91F17" w:rsidP="00F91F1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F91F17">
              <w:rPr>
                <w:rFonts w:cs="Calibri"/>
                <w:b/>
              </w:rPr>
              <w:t>2018</w:t>
            </w:r>
          </w:p>
        </w:tc>
      </w:tr>
      <w:tr w:rsidR="00F91F17" w:rsidRPr="00A2039D" w:rsidTr="003F126C">
        <w:trPr>
          <w:trHeight w:val="806"/>
          <w:jc w:val="center"/>
        </w:trPr>
        <w:tc>
          <w:tcPr>
            <w:tcW w:w="8296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rPr>
                <w:rFonts w:cs="Calibri"/>
                <w:bCs/>
              </w:rPr>
            </w:pPr>
            <w:r w:rsidRPr="00A2039D">
              <w:rPr>
                <w:bCs/>
              </w:rPr>
              <w:t>1. Promozione del potenziamento dei fattori di protezione (life skill, empowerment) attraverso interventi multidisciplinari rivolti ad insegnanti e famiglie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F91F17" w:rsidRPr="00A2039D" w:rsidTr="003F126C">
        <w:trPr>
          <w:trHeight w:val="806"/>
          <w:jc w:val="center"/>
        </w:trPr>
        <w:tc>
          <w:tcPr>
            <w:tcW w:w="8296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rPr>
                <w:bCs/>
              </w:rPr>
            </w:pPr>
            <w:r w:rsidRPr="00A2039D">
              <w:rPr>
                <w:bCs/>
              </w:rPr>
              <w:t>2. Promozione di comportamenti alimentari sani con attività nelle classi, nel contesto familiare e ambientale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</w:tr>
      <w:tr w:rsidR="00F91F17" w:rsidRPr="00A2039D" w:rsidTr="003F126C">
        <w:trPr>
          <w:trHeight w:val="806"/>
          <w:jc w:val="center"/>
        </w:trPr>
        <w:tc>
          <w:tcPr>
            <w:tcW w:w="8296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rPr>
                <w:bCs/>
              </w:rPr>
            </w:pPr>
            <w:r w:rsidRPr="00A2039D">
              <w:rPr>
                <w:bCs/>
              </w:rPr>
              <w:t>3. Riduzione del consumo di sale e promozione dell’utilizzo di sale iodato nella ristorazione collettiva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</w:tr>
      <w:tr w:rsidR="00F91F17" w:rsidRPr="00A2039D" w:rsidTr="003F126C">
        <w:trPr>
          <w:trHeight w:val="806"/>
          <w:jc w:val="center"/>
        </w:trPr>
        <w:tc>
          <w:tcPr>
            <w:tcW w:w="8296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rPr>
                <w:bCs/>
              </w:rPr>
            </w:pPr>
            <w:r w:rsidRPr="00A2039D">
              <w:rPr>
                <w:bCs/>
              </w:rPr>
              <w:t>4. Adozione di linee guida regionali per la ristorazione scolastica e per la distribuzione automatica di alimenti e bevande nelle scuole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  <w:tc>
          <w:tcPr>
            <w:tcW w:w="850" w:type="dxa"/>
            <w:vAlign w:val="center"/>
          </w:tcPr>
          <w:p w:rsidR="00F91F17" w:rsidRPr="00A2039D" w:rsidRDefault="00F91F17" w:rsidP="00F91F17">
            <w:pPr>
              <w:spacing w:after="0" w:line="240" w:lineRule="auto"/>
              <w:jc w:val="center"/>
              <w:rPr>
                <w:rFonts w:cs="Calibri"/>
              </w:rPr>
            </w:pPr>
            <w:r w:rsidRPr="00A2039D">
              <w:rPr>
                <w:rFonts w:cs="Calibri"/>
              </w:rPr>
              <w:t>X</w:t>
            </w:r>
          </w:p>
        </w:tc>
      </w:tr>
    </w:tbl>
    <w:p w:rsidR="00F91F17" w:rsidRDefault="00F91F17" w:rsidP="0098553E">
      <w:pPr>
        <w:rPr>
          <w:b/>
          <w:sz w:val="28"/>
          <w:szCs w:val="28"/>
        </w:rPr>
      </w:pPr>
    </w:p>
    <w:p w:rsidR="00F91F17" w:rsidRDefault="00F91F1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Grigliatabella"/>
        <w:tblW w:w="0" w:type="auto"/>
        <w:tblLook w:val="04A0"/>
      </w:tblPr>
      <w:tblGrid>
        <w:gridCol w:w="14425"/>
      </w:tblGrid>
      <w:tr w:rsidR="00F91F17" w:rsidRPr="000449DC" w:rsidTr="00CA7FD8">
        <w:tc>
          <w:tcPr>
            <w:tcW w:w="14425" w:type="dxa"/>
            <w:shd w:val="clear" w:color="auto" w:fill="D9D9D9" w:themeFill="background1" w:themeFillShade="D9"/>
          </w:tcPr>
          <w:p w:rsidR="00F91F17" w:rsidRPr="005D5C28" w:rsidRDefault="00F91F17" w:rsidP="00F91F17">
            <w:pPr>
              <w:jc w:val="center"/>
              <w:rPr>
                <w:b/>
                <w:sz w:val="28"/>
                <w:szCs w:val="28"/>
              </w:rPr>
            </w:pPr>
            <w:r w:rsidRPr="005D5C28">
              <w:rPr>
                <w:b/>
                <w:sz w:val="28"/>
                <w:szCs w:val="28"/>
              </w:rPr>
              <w:lastRenderedPageBreak/>
              <w:t>CRONOPROGRAMM</w:t>
            </w:r>
            <w:r>
              <w:rPr>
                <w:b/>
                <w:sz w:val="28"/>
                <w:szCs w:val="28"/>
              </w:rPr>
              <w:t>I SPECIFICI</w:t>
            </w:r>
          </w:p>
        </w:tc>
      </w:tr>
    </w:tbl>
    <w:p w:rsidR="00F91F17" w:rsidRDefault="00F91F17" w:rsidP="00F91F17"/>
    <w:p w:rsidR="00F91F17" w:rsidRDefault="00F91F17" w:rsidP="00F91F17">
      <w:pPr>
        <w:jc w:val="center"/>
        <w:rPr>
          <w:b/>
          <w:sz w:val="28"/>
          <w:szCs w:val="28"/>
        </w:rPr>
      </w:pPr>
      <w:r w:rsidRPr="00F91F17">
        <w:rPr>
          <w:noProof/>
          <w:szCs w:val="28"/>
          <w:lang w:eastAsia="it-IT"/>
        </w:rPr>
        <w:drawing>
          <wp:inline distT="0" distB="0" distL="0" distR="0">
            <wp:extent cx="9072245" cy="4403144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4403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F17" w:rsidRDefault="00F91F17" w:rsidP="0098553E">
      <w:pPr>
        <w:rPr>
          <w:b/>
          <w:sz w:val="28"/>
          <w:szCs w:val="28"/>
        </w:rPr>
      </w:pPr>
    </w:p>
    <w:p w:rsidR="00F91F17" w:rsidRDefault="00F91F1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91F17" w:rsidRDefault="00F91F17" w:rsidP="0098553E">
      <w:pPr>
        <w:rPr>
          <w:b/>
          <w:sz w:val="28"/>
          <w:szCs w:val="28"/>
        </w:rPr>
      </w:pPr>
    </w:p>
    <w:p w:rsidR="00F91F17" w:rsidRDefault="00F91F17" w:rsidP="0098553E">
      <w:pPr>
        <w:rPr>
          <w:b/>
          <w:sz w:val="28"/>
          <w:szCs w:val="28"/>
        </w:rPr>
      </w:pPr>
      <w:r w:rsidRPr="00F91F17">
        <w:rPr>
          <w:noProof/>
          <w:szCs w:val="28"/>
          <w:lang w:eastAsia="it-IT"/>
        </w:rPr>
        <w:drawing>
          <wp:inline distT="0" distB="0" distL="0" distR="0">
            <wp:extent cx="8841740" cy="429387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1740" cy="429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F17" w:rsidRDefault="00F91F1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91F17" w:rsidRDefault="00F91F17" w:rsidP="0098553E">
      <w:pPr>
        <w:rPr>
          <w:b/>
          <w:sz w:val="28"/>
          <w:szCs w:val="28"/>
        </w:rPr>
      </w:pPr>
    </w:p>
    <w:p w:rsidR="00F91F17" w:rsidRDefault="00F91F17" w:rsidP="0098553E">
      <w:pPr>
        <w:rPr>
          <w:b/>
          <w:sz w:val="28"/>
          <w:szCs w:val="28"/>
        </w:rPr>
      </w:pPr>
      <w:r w:rsidRPr="00F91F17">
        <w:rPr>
          <w:noProof/>
          <w:szCs w:val="28"/>
          <w:lang w:eastAsia="it-IT"/>
        </w:rPr>
        <w:drawing>
          <wp:inline distT="0" distB="0" distL="0" distR="0">
            <wp:extent cx="8841740" cy="2989580"/>
            <wp:effectExtent l="1905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1740" cy="298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F17" w:rsidRDefault="00F91F17" w:rsidP="0098553E">
      <w:pPr>
        <w:rPr>
          <w:b/>
          <w:sz w:val="28"/>
          <w:szCs w:val="28"/>
        </w:rPr>
      </w:pPr>
    </w:p>
    <w:p w:rsidR="00E23506" w:rsidRDefault="00E2350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91F17" w:rsidRDefault="00F91F17" w:rsidP="0098553E">
      <w:pPr>
        <w:rPr>
          <w:b/>
          <w:sz w:val="28"/>
          <w:szCs w:val="28"/>
        </w:rPr>
      </w:pPr>
    </w:p>
    <w:p w:rsidR="00E23506" w:rsidRDefault="00E23506" w:rsidP="0098553E">
      <w:pPr>
        <w:rPr>
          <w:b/>
          <w:sz w:val="28"/>
          <w:szCs w:val="28"/>
        </w:rPr>
      </w:pPr>
      <w:r w:rsidRPr="00E23506">
        <w:rPr>
          <w:noProof/>
          <w:szCs w:val="28"/>
          <w:lang w:eastAsia="it-IT"/>
        </w:rPr>
        <w:drawing>
          <wp:inline distT="0" distB="0" distL="0" distR="0">
            <wp:extent cx="9040495" cy="3554095"/>
            <wp:effectExtent l="19050" t="0" r="825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0495" cy="355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506" w:rsidRDefault="00E23506" w:rsidP="0098553E">
      <w:pPr>
        <w:rPr>
          <w:b/>
          <w:sz w:val="28"/>
          <w:szCs w:val="28"/>
        </w:rPr>
      </w:pPr>
    </w:p>
    <w:p w:rsidR="00E23506" w:rsidRDefault="00E23506" w:rsidP="0098553E">
      <w:pPr>
        <w:rPr>
          <w:b/>
          <w:sz w:val="28"/>
          <w:szCs w:val="28"/>
        </w:rPr>
        <w:sectPr w:rsidR="00E23506" w:rsidSect="00F91F17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/>
      </w:tblPr>
      <w:tblGrid>
        <w:gridCol w:w="9854"/>
      </w:tblGrid>
      <w:tr w:rsidR="000449DC" w:rsidRPr="000449DC" w:rsidTr="0098553E">
        <w:tc>
          <w:tcPr>
            <w:tcW w:w="9854" w:type="dxa"/>
            <w:shd w:val="clear" w:color="auto" w:fill="D9D9D9" w:themeFill="background1" w:themeFillShade="D9"/>
          </w:tcPr>
          <w:p w:rsidR="000449DC" w:rsidRPr="00273D08" w:rsidRDefault="000449DC" w:rsidP="0098553E">
            <w:pPr>
              <w:rPr>
                <w:b/>
                <w:sz w:val="28"/>
                <w:szCs w:val="28"/>
              </w:rPr>
            </w:pPr>
            <w:r w:rsidRPr="005D5C28">
              <w:rPr>
                <w:b/>
                <w:sz w:val="28"/>
                <w:szCs w:val="28"/>
              </w:rPr>
              <w:lastRenderedPageBreak/>
              <w:t>ANALISI DEI RISCHI</w:t>
            </w:r>
          </w:p>
        </w:tc>
      </w:tr>
      <w:tr w:rsidR="000449DC" w:rsidRPr="000449DC" w:rsidTr="0098553E">
        <w:tc>
          <w:tcPr>
            <w:tcW w:w="9854" w:type="dxa"/>
          </w:tcPr>
          <w:p w:rsidR="000449DC" w:rsidRDefault="000449DC" w:rsidP="00EF653B">
            <w:pPr>
              <w:rPr>
                <w:b/>
                <w:sz w:val="28"/>
                <w:szCs w:val="28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/>
            </w:tblPr>
            <w:tblGrid>
              <w:gridCol w:w="1683"/>
              <w:gridCol w:w="3824"/>
              <w:gridCol w:w="4121"/>
            </w:tblGrid>
            <w:tr w:rsidR="00EF653B" w:rsidRPr="00A2039D" w:rsidTr="009A6CD6">
              <w:trPr>
                <w:jc w:val="center"/>
              </w:trPr>
              <w:tc>
                <w:tcPr>
                  <w:tcW w:w="874" w:type="pct"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jc w:val="center"/>
                    <w:rPr>
                      <w:rFonts w:cs="Calibri"/>
                      <w:b/>
                      <w:sz w:val="20"/>
                    </w:rPr>
                  </w:pPr>
                  <w:r w:rsidRPr="00A2039D">
                    <w:rPr>
                      <w:rFonts w:cs="Calibri"/>
                      <w:b/>
                      <w:sz w:val="20"/>
                    </w:rPr>
                    <w:t>RISCHI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jc w:val="center"/>
                    <w:rPr>
                      <w:rFonts w:cs="Calibri"/>
                      <w:b/>
                      <w:sz w:val="20"/>
                    </w:rPr>
                  </w:pPr>
                  <w:r w:rsidRPr="00A2039D">
                    <w:rPr>
                      <w:rFonts w:cs="Calibri"/>
                      <w:b/>
                      <w:sz w:val="20"/>
                    </w:rPr>
                    <w:t>AZIONI CORRETTIVE</w:t>
                  </w:r>
                </w:p>
              </w:tc>
            </w:tr>
            <w:tr w:rsidR="00EF653B" w:rsidRPr="00A2039D" w:rsidTr="009A6CD6">
              <w:trPr>
                <w:trHeight w:val="636"/>
                <w:jc w:val="center"/>
              </w:trPr>
              <w:tc>
                <w:tcPr>
                  <w:tcW w:w="874" w:type="pct"/>
                  <w:vMerge w:val="restart"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  <w:r w:rsidRPr="00A2039D">
                    <w:rPr>
                      <w:rFonts w:cs="Calibri"/>
                      <w:b/>
                      <w:sz w:val="20"/>
                    </w:rPr>
                    <w:t>ANALISI DEI RISCHI</w:t>
                  </w:r>
                </w:p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(indicare gli elementi interni o esterni che possono ostacolare il raggiungimento degli obiettivi)</w:t>
                  </w:r>
                </w:p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1. Non adesione di istituti scolastici e delle classi target 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Contatti diretti e individuali con diri</w:t>
                  </w:r>
                  <w:r w:rsidR="00295316">
                    <w:rPr>
                      <w:rFonts w:cs="Calibri"/>
                      <w:sz w:val="20"/>
                    </w:rPr>
                    <w:t>genti scolastici e insegnanti (</w:t>
                  </w:r>
                  <w:r w:rsidRPr="00A2039D">
                    <w:rPr>
                      <w:rFonts w:cs="Calibri"/>
                      <w:sz w:val="20"/>
                    </w:rPr>
                    <w:t xml:space="preserve">counseling motivazionale su rete scuole promotrici di salute con bollino )  </w:t>
                  </w:r>
                </w:p>
              </w:tc>
            </w:tr>
            <w:tr w:rsidR="00EF653B" w:rsidRPr="00A2039D" w:rsidTr="009A6CD6">
              <w:trPr>
                <w:trHeight w:val="608"/>
                <w:jc w:val="center"/>
              </w:trPr>
              <w:tc>
                <w:tcPr>
                  <w:tcW w:w="874" w:type="pct"/>
                  <w:vMerge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2. Mancata collaborazione delle insegnanti e turnover insegnanti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Supporto gruppo AUSL e insegnanti referenti </w:t>
                  </w:r>
                </w:p>
              </w:tc>
            </w:tr>
            <w:tr w:rsidR="00EF653B" w:rsidRPr="00A2039D" w:rsidTr="009A6CD6">
              <w:trPr>
                <w:trHeight w:val="626"/>
                <w:jc w:val="center"/>
              </w:trPr>
              <w:tc>
                <w:tcPr>
                  <w:tcW w:w="874" w:type="pct"/>
                  <w:vMerge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3. Ridotta presenza dei genitori e degli insegnanti agli incontri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Incontri a domicilio con presenza anche di educatori comunali e incontri in orari scelti dai genitori </w:t>
                  </w:r>
                </w:p>
              </w:tc>
            </w:tr>
            <w:tr w:rsidR="00EF653B" w:rsidRPr="00A2039D" w:rsidTr="009A6CD6">
              <w:trPr>
                <w:trHeight w:val="311"/>
                <w:jc w:val="center"/>
              </w:trPr>
              <w:tc>
                <w:tcPr>
                  <w:tcW w:w="874" w:type="pct"/>
                  <w:vMerge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4. Carenza personale dedicato ASL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Individuazione personale ad hoc </w:t>
                  </w:r>
                </w:p>
              </w:tc>
            </w:tr>
            <w:tr w:rsidR="00EF653B" w:rsidRPr="00A2039D" w:rsidTr="009A6CD6">
              <w:trPr>
                <w:trHeight w:val="320"/>
                <w:jc w:val="center"/>
              </w:trPr>
              <w:tc>
                <w:tcPr>
                  <w:tcW w:w="874" w:type="pct"/>
                  <w:vMerge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5. Scarse risorse finanziarie ad hoc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Finalizzazione risorse specifiche </w:t>
                  </w:r>
                </w:p>
              </w:tc>
            </w:tr>
            <w:tr w:rsidR="00EF653B" w:rsidRPr="00A2039D" w:rsidTr="009A6CD6">
              <w:trPr>
                <w:trHeight w:val="630"/>
                <w:jc w:val="center"/>
              </w:trPr>
              <w:tc>
                <w:tcPr>
                  <w:tcW w:w="874" w:type="pct"/>
                  <w:vMerge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6. Scarsa collaborazione da parte delle ditte di ristorazione scolastica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Inserimento specifiche clausole nelle  gare di appalto da parte dei comuni </w:t>
                  </w:r>
                </w:p>
              </w:tc>
            </w:tr>
            <w:tr w:rsidR="00EF653B" w:rsidRPr="00A2039D" w:rsidTr="009A6CD6">
              <w:trPr>
                <w:trHeight w:val="333"/>
                <w:jc w:val="center"/>
              </w:trPr>
              <w:tc>
                <w:tcPr>
                  <w:tcW w:w="874" w:type="pct"/>
                  <w:vMerge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7. Scarsa collaborazione da parte dei Comuni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Incentivo città sane </w:t>
                  </w:r>
                </w:p>
              </w:tc>
            </w:tr>
            <w:tr w:rsidR="00EF653B" w:rsidRPr="00A2039D" w:rsidTr="009A6CD6">
              <w:trPr>
                <w:trHeight w:val="615"/>
                <w:jc w:val="center"/>
              </w:trPr>
              <w:tc>
                <w:tcPr>
                  <w:tcW w:w="874" w:type="pct"/>
                  <w:vMerge/>
                  <w:tcBorders>
                    <w:right w:val="single" w:sz="4" w:space="0" w:color="auto"/>
                  </w:tcBorders>
                </w:tcPr>
                <w:p w:rsidR="00EF653B" w:rsidRPr="00A2039D" w:rsidRDefault="00EF653B" w:rsidP="009A6CD6">
                  <w:pPr>
                    <w:jc w:val="center"/>
                    <w:rPr>
                      <w:rFonts w:cs="Calibri"/>
                      <w:b/>
                      <w:sz w:val="20"/>
                    </w:rPr>
                  </w:pPr>
                </w:p>
              </w:tc>
              <w:tc>
                <w:tcPr>
                  <w:tcW w:w="19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>8. Disomogeneità nell’attuazione degli interventi da parte delle ASL</w:t>
                  </w:r>
                </w:p>
              </w:tc>
              <w:tc>
                <w:tcPr>
                  <w:tcW w:w="21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F653B" w:rsidRPr="00A2039D" w:rsidRDefault="00EF653B" w:rsidP="009A6CD6">
                  <w:pPr>
                    <w:spacing w:after="0"/>
                    <w:rPr>
                      <w:rFonts w:cs="Calibri"/>
                      <w:sz w:val="20"/>
                    </w:rPr>
                  </w:pPr>
                  <w:r w:rsidRPr="00A2039D">
                    <w:rPr>
                      <w:rFonts w:cs="Calibri"/>
                      <w:sz w:val="20"/>
                    </w:rPr>
                    <w:t xml:space="preserve">Inserimento da parte della Regione nell’obiettivo di valutazione dei Direttori Generali delle AUSL </w:t>
                  </w:r>
                </w:p>
              </w:tc>
            </w:tr>
          </w:tbl>
          <w:p w:rsidR="00EF653B" w:rsidRDefault="00EF653B" w:rsidP="00EF653B">
            <w:pPr>
              <w:rPr>
                <w:b/>
                <w:sz w:val="28"/>
                <w:szCs w:val="28"/>
              </w:rPr>
            </w:pPr>
          </w:p>
          <w:p w:rsidR="00EF653B" w:rsidRPr="00EF653B" w:rsidRDefault="00EF653B" w:rsidP="00EF653B">
            <w:pPr>
              <w:rPr>
                <w:b/>
                <w:sz w:val="28"/>
                <w:szCs w:val="28"/>
              </w:rPr>
            </w:pPr>
          </w:p>
        </w:tc>
      </w:tr>
    </w:tbl>
    <w:p w:rsidR="00960719" w:rsidRPr="000449DC" w:rsidRDefault="00960719"/>
    <w:sectPr w:rsidR="00960719" w:rsidRPr="000449DC" w:rsidSect="000971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10D" w:rsidRDefault="00D1210D" w:rsidP="00C8286D">
      <w:pPr>
        <w:spacing w:after="0" w:line="240" w:lineRule="auto"/>
      </w:pPr>
      <w:r>
        <w:separator/>
      </w:r>
    </w:p>
  </w:endnote>
  <w:endnote w:type="continuationSeparator" w:id="0">
    <w:p w:rsidR="00D1210D" w:rsidRDefault="00D1210D" w:rsidP="00C8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2C445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0463"/>
      <w:docPartObj>
        <w:docPartGallery w:val="Page Numbers (Bottom of Page)"/>
        <w:docPartUnique/>
      </w:docPartObj>
    </w:sdtPr>
    <w:sdtContent>
      <w:p w:rsidR="00C8286D" w:rsidRDefault="00C8286D">
        <w:pPr>
          <w:pStyle w:val="Pidipagina"/>
          <w:jc w:val="right"/>
        </w:pPr>
        <w:fldSimple w:instr=" PAGE   \* MERGEFORMAT ">
          <w:r>
            <w:rPr>
              <w:noProof/>
            </w:rPr>
            <w:t>43</w:t>
          </w:r>
        </w:fldSimple>
      </w:p>
    </w:sdtContent>
  </w:sdt>
  <w:p w:rsidR="00C8286D" w:rsidRDefault="00C8286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10D" w:rsidRDefault="00D1210D" w:rsidP="00C8286D">
      <w:pPr>
        <w:spacing w:after="0" w:line="240" w:lineRule="auto"/>
      </w:pPr>
      <w:r>
        <w:separator/>
      </w:r>
    </w:p>
  </w:footnote>
  <w:footnote w:type="continuationSeparator" w:id="0">
    <w:p w:rsidR="00D1210D" w:rsidRDefault="00D1210D" w:rsidP="00C8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0006C"/>
    <w:multiLevelType w:val="hybridMultilevel"/>
    <w:tmpl w:val="D9A066C6"/>
    <w:lvl w:ilvl="0" w:tplc="4EDE0944">
      <w:numFmt w:val="bullet"/>
      <w:lvlText w:val="–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C0E09"/>
    <w:multiLevelType w:val="hybridMultilevel"/>
    <w:tmpl w:val="62E8E4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F6271"/>
    <w:multiLevelType w:val="hybridMultilevel"/>
    <w:tmpl w:val="8F624D4A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B2897"/>
    <w:multiLevelType w:val="hybridMultilevel"/>
    <w:tmpl w:val="A5AE8222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B01E39"/>
    <w:multiLevelType w:val="hybridMultilevel"/>
    <w:tmpl w:val="6D1AE9B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7A1175"/>
    <w:multiLevelType w:val="hybridMultilevel"/>
    <w:tmpl w:val="EB7EC7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209FC"/>
    <w:multiLevelType w:val="hybridMultilevel"/>
    <w:tmpl w:val="F220572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2EC0D8D"/>
    <w:multiLevelType w:val="hybridMultilevel"/>
    <w:tmpl w:val="0DD89472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B0144"/>
    <w:multiLevelType w:val="hybridMultilevel"/>
    <w:tmpl w:val="0DAE4632"/>
    <w:lvl w:ilvl="0" w:tplc="EED624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817FE"/>
    <w:multiLevelType w:val="hybridMultilevel"/>
    <w:tmpl w:val="4D4CB27E"/>
    <w:lvl w:ilvl="0" w:tplc="955EA2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Calibri" w:hAnsi="Comic Sans MS" w:cs="Times New Roman" w:hint="default"/>
      </w:rPr>
    </w:lvl>
    <w:lvl w:ilvl="1" w:tplc="DD604E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584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4061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02B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C2AD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C8D6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DCEA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A1A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F15ECA"/>
    <w:multiLevelType w:val="hybridMultilevel"/>
    <w:tmpl w:val="168EBB56"/>
    <w:lvl w:ilvl="0" w:tplc="213EB7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8674F"/>
    <w:multiLevelType w:val="hybridMultilevel"/>
    <w:tmpl w:val="00AC01C8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B61E81"/>
    <w:multiLevelType w:val="hybridMultilevel"/>
    <w:tmpl w:val="69009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33888"/>
    <w:multiLevelType w:val="hybridMultilevel"/>
    <w:tmpl w:val="D6204640"/>
    <w:lvl w:ilvl="0" w:tplc="CEB80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014FF5"/>
    <w:multiLevelType w:val="hybridMultilevel"/>
    <w:tmpl w:val="60AAB4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C530F"/>
    <w:multiLevelType w:val="hybridMultilevel"/>
    <w:tmpl w:val="4DA40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10106E"/>
    <w:multiLevelType w:val="hybridMultilevel"/>
    <w:tmpl w:val="6FFED3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A83B69"/>
    <w:multiLevelType w:val="hybridMultilevel"/>
    <w:tmpl w:val="DE7843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3A38C5"/>
    <w:multiLevelType w:val="hybridMultilevel"/>
    <w:tmpl w:val="419EC4B6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676CE8"/>
    <w:multiLevelType w:val="hybridMultilevel"/>
    <w:tmpl w:val="A7642D1C"/>
    <w:lvl w:ilvl="0" w:tplc="FC2CAA5C">
      <w:start w:val="1"/>
      <w:numFmt w:val="bullet"/>
      <w:lvlText w:val="_"/>
      <w:lvlJc w:val="left"/>
      <w:pPr>
        <w:ind w:left="72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0"/>
  </w:num>
  <w:num w:numId="5">
    <w:abstractNumId w:val="9"/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8"/>
  </w:num>
  <w:num w:numId="11">
    <w:abstractNumId w:val="17"/>
  </w:num>
  <w:num w:numId="12">
    <w:abstractNumId w:val="4"/>
  </w:num>
  <w:num w:numId="13">
    <w:abstractNumId w:val="18"/>
  </w:num>
  <w:num w:numId="14">
    <w:abstractNumId w:val="7"/>
  </w:num>
  <w:num w:numId="15">
    <w:abstractNumId w:val="13"/>
  </w:num>
  <w:num w:numId="16">
    <w:abstractNumId w:val="15"/>
  </w:num>
  <w:num w:numId="17">
    <w:abstractNumId w:val="1"/>
  </w:num>
  <w:num w:numId="18">
    <w:abstractNumId w:val="5"/>
  </w:num>
  <w:num w:numId="19">
    <w:abstractNumId w:val="1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9DC"/>
    <w:rsid w:val="000449DC"/>
    <w:rsid w:val="0009713C"/>
    <w:rsid w:val="000E5C36"/>
    <w:rsid w:val="00102088"/>
    <w:rsid w:val="001049A6"/>
    <w:rsid w:val="00123177"/>
    <w:rsid w:val="00160152"/>
    <w:rsid w:val="00170542"/>
    <w:rsid w:val="0024457A"/>
    <w:rsid w:val="00295316"/>
    <w:rsid w:val="0039237B"/>
    <w:rsid w:val="003D2037"/>
    <w:rsid w:val="003F126C"/>
    <w:rsid w:val="004078D6"/>
    <w:rsid w:val="005C779C"/>
    <w:rsid w:val="006E2488"/>
    <w:rsid w:val="0071552A"/>
    <w:rsid w:val="007A5CCD"/>
    <w:rsid w:val="00816E8F"/>
    <w:rsid w:val="00827381"/>
    <w:rsid w:val="008B69CA"/>
    <w:rsid w:val="008F253A"/>
    <w:rsid w:val="009035FE"/>
    <w:rsid w:val="00960719"/>
    <w:rsid w:val="00962328"/>
    <w:rsid w:val="0098553E"/>
    <w:rsid w:val="00B12123"/>
    <w:rsid w:val="00C7010C"/>
    <w:rsid w:val="00C8286D"/>
    <w:rsid w:val="00CF4934"/>
    <w:rsid w:val="00D1210D"/>
    <w:rsid w:val="00D14EAD"/>
    <w:rsid w:val="00D1652F"/>
    <w:rsid w:val="00D20181"/>
    <w:rsid w:val="00D52B24"/>
    <w:rsid w:val="00DD752D"/>
    <w:rsid w:val="00E23506"/>
    <w:rsid w:val="00EF653B"/>
    <w:rsid w:val="00F91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1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4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0449DC"/>
    <w:pPr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CF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F4934"/>
  </w:style>
  <w:style w:type="paragraph" w:customStyle="1" w:styleId="Default">
    <w:name w:val="Default"/>
    <w:rsid w:val="00EF65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F65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F1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828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8286D"/>
  </w:style>
  <w:style w:type="paragraph" w:styleId="Pidipagina">
    <w:name w:val="footer"/>
    <w:basedOn w:val="Normale"/>
    <w:link w:val="PidipaginaCarattere"/>
    <w:uiPriority w:val="99"/>
    <w:unhideWhenUsed/>
    <w:rsid w:val="00C828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4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0449DC"/>
    <w:pPr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CF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F4934"/>
  </w:style>
  <w:style w:type="paragraph" w:customStyle="1" w:styleId="Default">
    <w:name w:val="Default"/>
    <w:rsid w:val="00EF65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F65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?term=Maes%20L%5BAuthor%5D&amp;cauthor=true&amp;cauthor_uid=20070915" TargetMode="External"/><Relationship Id="rId13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?term=Van%20Cauwenberghe%20E%5BAuthor%5D&amp;cauthor=true&amp;cauthor_uid=20070915" TargetMode="External"/><Relationship Id="rId12" Type="http://schemas.openxmlformats.org/officeDocument/2006/relationships/image" Target="media/image2.emf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?term=Spittaels%20H%5BAuthor%5D&amp;cauthor=true&amp;cauthor_uid=20070915" TargetMode="Externa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maria</cp:lastModifiedBy>
  <cp:revision>16</cp:revision>
  <dcterms:created xsi:type="dcterms:W3CDTF">2015-05-18T11:27:00Z</dcterms:created>
  <dcterms:modified xsi:type="dcterms:W3CDTF">2015-05-19T14:42:00Z</dcterms:modified>
</cp:coreProperties>
</file>